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1E3" w:rsidRPr="00D16090" w:rsidRDefault="00DE61E3" w:rsidP="00DE61E3">
      <w:pPr>
        <w:spacing w:after="0" w:line="240" w:lineRule="auto"/>
        <w:jc w:val="center"/>
        <w:rPr>
          <w:b/>
        </w:rPr>
      </w:pPr>
      <w:r w:rsidRPr="00D16090">
        <w:rPr>
          <w:b/>
        </w:rPr>
        <w:t xml:space="preserve">Lineamientos generales para el planeamiento de </w:t>
      </w:r>
    </w:p>
    <w:p w:rsidR="00DE61E3" w:rsidRPr="00D16090" w:rsidRDefault="00DE61E3" w:rsidP="00DE61E3">
      <w:pPr>
        <w:spacing w:after="0" w:line="240" w:lineRule="auto"/>
        <w:jc w:val="center"/>
        <w:rPr>
          <w:b/>
        </w:rPr>
      </w:pPr>
      <w:r w:rsidRPr="00D16090">
        <w:rPr>
          <w:b/>
        </w:rPr>
        <w:t>Español en Primer Ciclo y Segundo Ciclo</w:t>
      </w:r>
    </w:p>
    <w:p w:rsidR="00DE61E3" w:rsidRPr="00D16090" w:rsidRDefault="00DE61E3" w:rsidP="00DE61E3">
      <w:pPr>
        <w:spacing w:after="0" w:line="240" w:lineRule="auto"/>
        <w:jc w:val="center"/>
      </w:pP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Las actividades de mediación para desarrollar las lecciones de </w:t>
      </w:r>
      <w:proofErr w:type="gramStart"/>
      <w:r w:rsidRPr="00D16090">
        <w:t>Español</w:t>
      </w:r>
      <w:proofErr w:type="gramEnd"/>
      <w:r w:rsidRPr="00D16090">
        <w:t xml:space="preserve"> en primaria, se elaboran considerando los tres momentos claves para el abordaje de los contenidos curriculares correspondientes (inicio, desarrollo y cierre).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>Las actividades de mediación se redactan de manera muy detallada y en tercera persona singular.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El contenido curricular actitudinal correspondiente debe evidenciarse en la redacción de alguna de las actividades de mediación y se subraya o escribe con letra negrita o de otro color. 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D16090">
        <w:t>supracitado</w:t>
      </w:r>
      <w:proofErr w:type="spellEnd"/>
      <w:r w:rsidRPr="00D16090">
        <w:t xml:space="preserve"> establece la dosificación por nivel y las listas de lecturas recomendadas para ambos ciclos educativos.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D16090">
        <w:rPr>
          <w:b/>
        </w:rPr>
        <w:t>DVM-AC-0015-01-2017</w:t>
      </w:r>
      <w:r w:rsidRPr="00D16090">
        <w:t xml:space="preserve">. 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D16090">
        <w:t>subsitio</w:t>
      </w:r>
      <w:proofErr w:type="spellEnd"/>
      <w:r w:rsidRPr="00D16090">
        <w:t xml:space="preserve"> Piensa en Arte, al cual se puede ingresar con una contraseña creada por el usuario que cuente con correo oficial del MEP.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>El contenido 4.1 de primer año se debe retomar periódicamente, cada vez que se trabaje el desarrollo o estimulación de la conciencia fonológica.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>Debido a lo expuesto en el punto anterior, y como parte del proceso de lectoescritura, la unidad de articulación se abarca hacia el final del primer año, o bien, al iniciar el segundo año escolar.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DE61E3" w:rsidRPr="00D16090" w:rsidRDefault="00DE61E3" w:rsidP="00DE61E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16090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DE61E3" w:rsidRPr="00D16090" w:rsidRDefault="00DE61E3" w:rsidP="00DE61E3">
      <w:pPr>
        <w:jc w:val="center"/>
        <w:rPr>
          <w:b/>
        </w:rPr>
      </w:pPr>
    </w:p>
    <w:p w:rsidR="00DE61E3" w:rsidRDefault="00DE61E3" w:rsidP="00DE61E3">
      <w:pPr>
        <w:jc w:val="center"/>
        <w:rPr>
          <w:b/>
        </w:rPr>
      </w:pPr>
      <w:r w:rsidRPr="00D16090">
        <w:rPr>
          <w:b/>
        </w:rPr>
        <w:lastRenderedPageBreak/>
        <w:t xml:space="preserve">Plantilla de planeamiento didáctico de Español </w:t>
      </w:r>
    </w:p>
    <w:p w:rsidR="00DE61E3" w:rsidRDefault="00DE61E3" w:rsidP="00DE61E3">
      <w:pPr>
        <w:rPr>
          <w:b/>
        </w:rPr>
      </w:pPr>
      <w:r w:rsidRPr="003053CA">
        <w:rPr>
          <w:b/>
        </w:rPr>
        <w:t>Aspectos administrativos</w:t>
      </w:r>
    </w:p>
    <w:p w:rsidR="00FC3DF4" w:rsidRPr="007C1CA5" w:rsidRDefault="00FC3DF4" w:rsidP="00FC3DF4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DE61E3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E61E3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DE61E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E61E3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DE61E3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E61E3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>Nombre y apellidos del o la docente</w:t>
            </w:r>
            <w:r w:rsidRPr="00DE61E3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E61E3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DE61E3" w:rsidRPr="00DE61E3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FC3DF4" w:rsidRPr="007C1CA5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E61E3" w:rsidRDefault="00FC3DF4" w:rsidP="00D6674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D66747" w:rsidRPr="00DE61E3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año.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E61E3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="00D66747" w:rsidRPr="00DE61E3">
              <w:rPr>
                <w:rFonts w:asciiTheme="minorHAnsi" w:hAnsiTheme="minorHAnsi" w:cs="Arial"/>
                <w:b/>
                <w:sz w:val="22"/>
                <w:szCs w:val="22"/>
              </w:rPr>
              <w:t>eriodo l</w:t>
            </w: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C1CA5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61E3">
              <w:rPr>
                <w:rFonts w:asciiTheme="minorHAnsi" w:hAnsiTheme="minorHAnsi" w:cs="Arial"/>
                <w:b/>
                <w:sz w:val="22"/>
                <w:szCs w:val="22"/>
              </w:rPr>
              <w:t>Mes:</w:t>
            </w: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DE61E3" w:rsidRDefault="00DE61E3" w:rsidP="00DE61E3">
      <w:pPr>
        <w:tabs>
          <w:tab w:val="left" w:pos="5670"/>
          <w:tab w:val="left" w:pos="6105"/>
        </w:tabs>
        <w:spacing w:after="0"/>
        <w:rPr>
          <w:b/>
        </w:rPr>
      </w:pPr>
    </w:p>
    <w:p w:rsidR="00DE61E3" w:rsidRPr="003053CA" w:rsidRDefault="00DE61E3" w:rsidP="00DE61E3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FC3DF4" w:rsidRPr="007C1CA5" w:rsidRDefault="00FC3DF4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7C1CA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DE61E3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C1CA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4B4A90" w:rsidP="00FC3DF4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Pensamiento c</w:t>
            </w:r>
            <w:r w:rsidR="00FC3DF4" w:rsidRPr="007C1CA5">
              <w:rPr>
                <w:b/>
                <w:color w:val="000000" w:themeColor="text1"/>
              </w:rPr>
              <w:t>rítico:</w:t>
            </w:r>
          </w:p>
          <w:p w:rsidR="00FC3DF4" w:rsidRPr="007C1CA5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7C1CA5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3DF4" w:rsidRPr="007C1CA5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7C1CA5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3DF4" w:rsidRPr="007C1CA5" w:rsidRDefault="00FC3DF4" w:rsidP="00FC3DF4">
            <w:pPr>
              <w:jc w:val="center"/>
              <w:rPr>
                <w:color w:val="000000" w:themeColor="text1"/>
              </w:rPr>
            </w:pPr>
            <w:r w:rsidRPr="007C1CA5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FC3DF4" w:rsidRPr="007C1CA5" w:rsidRDefault="00FC3DF4" w:rsidP="00FC3DF4">
            <w:pPr>
              <w:jc w:val="center"/>
            </w:pPr>
            <w:r w:rsidRPr="007C1CA5">
              <w:rPr>
                <w:rFonts w:cs="Arial"/>
              </w:rPr>
              <w:t>así como los pro y contra de diversos puntos de vista)</w:t>
            </w:r>
          </w:p>
        </w:tc>
      </w:tr>
    </w:tbl>
    <w:p w:rsidR="00FC3DF4" w:rsidRPr="007C1CA5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7C1CA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DE61E3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C1CA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7C1CA5">
              <w:rPr>
                <w:b/>
                <w:color w:val="000000" w:themeColor="text1"/>
              </w:rPr>
              <w:t>Comunicación: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7C1CA5" w:rsidRDefault="00FC3DF4" w:rsidP="00FC3DF4">
            <w:pPr>
              <w:jc w:val="both"/>
              <w:rPr>
                <w:color w:val="000000" w:themeColor="text1"/>
              </w:rPr>
            </w:pPr>
            <w:r w:rsidRPr="007C1CA5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7C1CA5" w:rsidRDefault="00FC3DF4" w:rsidP="00FC3DF4">
            <w:pPr>
              <w:jc w:val="center"/>
              <w:rPr>
                <w:color w:val="000000" w:themeColor="text1"/>
              </w:rPr>
            </w:pPr>
            <w:r w:rsidRPr="007C1CA5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7C1CA5" w:rsidRDefault="00FC3DF4" w:rsidP="00FC3DF4">
            <w:pPr>
              <w:jc w:val="center"/>
            </w:pPr>
            <w:r w:rsidRPr="007C1CA5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7C1CA5" w:rsidRDefault="00FC3DF4" w:rsidP="00FC3DF4">
      <w:pPr>
        <w:rPr>
          <w:b/>
        </w:rPr>
      </w:pPr>
    </w:p>
    <w:p w:rsidR="00DE61E3" w:rsidRDefault="00DE61E3" w:rsidP="00DE61E3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52"/>
        <w:gridCol w:w="2512"/>
        <w:gridCol w:w="2043"/>
        <w:gridCol w:w="6796"/>
      </w:tblGrid>
      <w:tr w:rsidR="00FC3DF4" w:rsidRPr="007C1CA5" w:rsidTr="00DE61E3">
        <w:tc>
          <w:tcPr>
            <w:tcW w:w="4764" w:type="dxa"/>
            <w:gridSpan w:val="2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Aprendizaje esperado</w:t>
            </w:r>
          </w:p>
        </w:tc>
        <w:tc>
          <w:tcPr>
            <w:tcW w:w="2043" w:type="dxa"/>
            <w:vMerge w:val="restart"/>
            <w:vAlign w:val="center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Indicadores del aprendizaje esperado</w:t>
            </w:r>
          </w:p>
        </w:tc>
        <w:tc>
          <w:tcPr>
            <w:tcW w:w="6796" w:type="dxa"/>
            <w:vMerge w:val="restart"/>
            <w:vAlign w:val="center"/>
          </w:tcPr>
          <w:p w:rsidR="00FC3DF4" w:rsidRPr="007C1CA5" w:rsidRDefault="00DE61E3" w:rsidP="00FC3DF4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</w:tc>
      </w:tr>
      <w:tr w:rsidR="00FC3DF4" w:rsidRPr="007C1CA5" w:rsidTr="00DE61E3">
        <w:tc>
          <w:tcPr>
            <w:tcW w:w="2252" w:type="dxa"/>
          </w:tcPr>
          <w:p w:rsidR="00FC3DF4" w:rsidRPr="007C1CA5" w:rsidRDefault="00FC3DF4" w:rsidP="00FC3DF4">
            <w:pPr>
              <w:jc w:val="center"/>
              <w:rPr>
                <w:b/>
                <w:highlight w:val="yellow"/>
              </w:rPr>
            </w:pPr>
            <w:r w:rsidRPr="007C1CA5">
              <w:rPr>
                <w:b/>
              </w:rPr>
              <w:t>Indicador para el desarrollo de la habilidad</w:t>
            </w:r>
          </w:p>
        </w:tc>
        <w:tc>
          <w:tcPr>
            <w:tcW w:w="2512" w:type="dxa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Componente del programa de estudio</w:t>
            </w:r>
          </w:p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(contenido curricular procedimental)</w:t>
            </w:r>
          </w:p>
        </w:tc>
        <w:tc>
          <w:tcPr>
            <w:tcW w:w="2043" w:type="dxa"/>
            <w:vMerge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6796" w:type="dxa"/>
            <w:vMerge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7C1CA5" w:rsidTr="00DE61E3">
        <w:trPr>
          <w:trHeight w:val="4247"/>
        </w:trPr>
        <w:tc>
          <w:tcPr>
            <w:tcW w:w="2252" w:type="dxa"/>
            <w:vAlign w:val="center"/>
          </w:tcPr>
          <w:p w:rsidR="00FC3DF4" w:rsidRPr="00383DCC" w:rsidRDefault="0025187A" w:rsidP="00FC3DF4">
            <w:pPr>
              <w:jc w:val="center"/>
              <w:rPr>
                <w:b/>
                <w:color w:val="BF8F00" w:themeColor="accent4" w:themeShade="BF"/>
              </w:rPr>
            </w:pPr>
            <w:r>
              <w:rPr>
                <w:b/>
                <w:color w:val="BF8F00" w:themeColor="accent4" w:themeShade="BF"/>
              </w:rPr>
              <w:t>Pensamiento c</w:t>
            </w:r>
            <w:r w:rsidR="00FC3DF4" w:rsidRPr="00383DCC">
              <w:rPr>
                <w:b/>
                <w:color w:val="BF8F00" w:themeColor="accent4" w:themeShade="BF"/>
              </w:rPr>
              <w:t>rítico: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así como los pro y contra de diversos puntos de vista)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F024E6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024E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</w:t>
            </w: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estéticos y literarios, respetando los cánones gramaticales).</w:t>
            </w:r>
          </w:p>
        </w:tc>
        <w:tc>
          <w:tcPr>
            <w:tcW w:w="2512" w:type="dxa"/>
          </w:tcPr>
          <w:p w:rsidR="00FC3DF4" w:rsidRPr="00584B29" w:rsidRDefault="00FC3DF4" w:rsidP="00FC3DF4">
            <w:pPr>
              <w:jc w:val="both"/>
              <w:rPr>
                <w:b/>
              </w:rPr>
            </w:pPr>
          </w:p>
          <w:p w:rsidR="00FC3DF4" w:rsidRDefault="009C09A9" w:rsidP="009C09A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ascii="MyriadPro-Regular" w:hAnsi="MyriadPro-Regular" w:cs="MyriadPro-Regular"/>
              </w:rPr>
              <w:t>5.1. Aplicación de estrategias de interpretación  inferencias, hipótesis, conjeturas, analogías, conclusiones, proposiciones) para captar el sentido global del texto.</w:t>
            </w:r>
            <w:r w:rsidRPr="000906D6">
              <w:rPr>
                <w:b/>
              </w:rPr>
              <w:t xml:space="preserve"> </w:t>
            </w:r>
          </w:p>
          <w:p w:rsidR="009C09A9" w:rsidRPr="000906D6" w:rsidRDefault="009C09A9" w:rsidP="009C09A9">
            <w:pPr>
              <w:rPr>
                <w:b/>
              </w:rPr>
            </w:pPr>
          </w:p>
          <w:p w:rsid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>
              <w:t>(</w:t>
            </w:r>
            <w:r>
              <w:rPr>
                <w:rFonts w:ascii="MyriadPro-Regular" w:hAnsi="MyriadPro-Regular" w:cs="MyriadPro-Regular"/>
              </w:rPr>
              <w:t>5. Reconstrucciones del sentido textual</w:t>
            </w:r>
          </w:p>
          <w:p w:rsidR="009C09A9" w:rsidRP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 w:rsidRPr="009C09A9">
              <w:rPr>
                <w:rFonts w:ascii="MyriadPro-Regular" w:hAnsi="MyriadPro-Regular" w:cs="MyriadPro-Regular"/>
              </w:rPr>
              <w:t>Como:</w:t>
            </w:r>
          </w:p>
          <w:p w:rsid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 w:rsidRPr="009C09A9">
              <w:rPr>
                <w:rFonts w:ascii="MyriadPro-Regular" w:hAnsi="MyriadPro-Regular" w:cs="MyriadPro-Regular"/>
              </w:rPr>
              <w:t xml:space="preserve">• </w:t>
            </w:r>
            <w:r>
              <w:rPr>
                <w:rFonts w:ascii="MyriadPro-Regular" w:hAnsi="MyriadPro-Regular" w:cs="MyriadPro-Regular"/>
              </w:rPr>
              <w:t>Relación entre los predictores textuales y las hipótesis textuales.</w:t>
            </w:r>
          </w:p>
          <w:p w:rsid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 w:rsidRPr="009C09A9">
              <w:rPr>
                <w:rFonts w:ascii="MyriadPro-Regular" w:hAnsi="MyriadPro-Regular" w:cs="MyriadPro-Regular"/>
              </w:rPr>
              <w:t>•</w:t>
            </w:r>
            <w:r>
              <w:rPr>
                <w:rFonts w:ascii="MyriadPro-Regular" w:hAnsi="MyriadPro-Regular" w:cs="MyriadPro-Regular"/>
              </w:rPr>
              <w:t>Relación de analogías o/y contrastes con las experiencias previas.</w:t>
            </w:r>
          </w:p>
          <w:p w:rsid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 w:rsidRPr="009C09A9">
              <w:rPr>
                <w:rFonts w:ascii="MyriadPro-Regular" w:hAnsi="MyriadPro-Regular" w:cs="MyriadPro-Regular"/>
              </w:rPr>
              <w:t>•</w:t>
            </w:r>
            <w:r>
              <w:rPr>
                <w:rFonts w:ascii="MyriadPro-Regular" w:hAnsi="MyriadPro-Regular" w:cs="MyriadPro-Regular"/>
              </w:rPr>
              <w:t xml:space="preserve">Relación entre las ideas principales y </w:t>
            </w:r>
            <w:r>
              <w:rPr>
                <w:rFonts w:ascii="MyriadPro-Regular" w:hAnsi="MyriadPro-Regular" w:cs="MyriadPro-Regular"/>
              </w:rPr>
              <w:lastRenderedPageBreak/>
              <w:t>otros elementos que conforman el texto.</w:t>
            </w:r>
          </w:p>
          <w:p w:rsid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 w:rsidRPr="009C09A9">
              <w:rPr>
                <w:rFonts w:ascii="MyriadPro-Regular" w:hAnsi="MyriadPro-Regular" w:cs="MyriadPro-Regular"/>
              </w:rPr>
              <w:t>•</w:t>
            </w:r>
            <w:r>
              <w:rPr>
                <w:rFonts w:ascii="MyriadPro-Regular" w:hAnsi="MyriadPro-Regular" w:cs="MyriadPro-Regular"/>
              </w:rPr>
              <w:t>Asociación del significado de las palabras desconocidas por medio de su relación con el contexto.</w:t>
            </w:r>
          </w:p>
          <w:p w:rsid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 w:rsidRPr="009C09A9">
              <w:rPr>
                <w:rFonts w:ascii="MyriadPro-Regular" w:hAnsi="MyriadPro-Regular" w:cs="MyriadPro-Regular"/>
              </w:rPr>
              <w:t xml:space="preserve">• </w:t>
            </w:r>
            <w:r>
              <w:rPr>
                <w:rFonts w:ascii="MyriadPro-Regular" w:hAnsi="MyriadPro-Regular" w:cs="MyriadPro-Regular"/>
              </w:rPr>
              <w:t>Relación entre las secuencias textuales y la coherencia y  cohesión textual.</w:t>
            </w:r>
          </w:p>
          <w:p w:rsidR="009C09A9" w:rsidRDefault="009C09A9" w:rsidP="009C09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</w:rPr>
            </w:pPr>
            <w:r w:rsidRPr="009C09A9">
              <w:rPr>
                <w:rFonts w:ascii="MyriadPro-Regular" w:hAnsi="MyriadPro-Regular" w:cs="MyriadPro-Regular"/>
              </w:rPr>
              <w:t>•</w:t>
            </w:r>
            <w:r>
              <w:rPr>
                <w:rFonts w:ascii="MyriadPro-Regular" w:hAnsi="MyriadPro-Regular" w:cs="MyriadPro-Regular"/>
              </w:rPr>
              <w:t>Relación entre causa y efecto en las  acciones presentes en el texto.</w:t>
            </w:r>
          </w:p>
          <w:p w:rsidR="00FC3DF4" w:rsidRPr="00554C34" w:rsidRDefault="009C09A9" w:rsidP="009C09A9">
            <w:pPr>
              <w:autoSpaceDE w:val="0"/>
              <w:autoSpaceDN w:val="0"/>
              <w:adjustRightInd w:val="0"/>
            </w:pPr>
            <w:r w:rsidRPr="009C09A9">
              <w:rPr>
                <w:rFonts w:ascii="MyriadPro-Regular" w:hAnsi="MyriadPro-Regular" w:cs="MyriadPro-Regular"/>
              </w:rPr>
              <w:t>•</w:t>
            </w:r>
            <w:r>
              <w:rPr>
                <w:rFonts w:ascii="MyriadPro-Regular" w:hAnsi="MyriadPro-Regular" w:cs="MyriadPro-Regular"/>
              </w:rPr>
              <w:t>Asociación entre un mismo concepto planteado en diferentes textos).</w:t>
            </w:r>
          </w:p>
        </w:tc>
        <w:tc>
          <w:tcPr>
            <w:tcW w:w="2043" w:type="dxa"/>
          </w:tcPr>
          <w:p w:rsidR="00FC3DF4" w:rsidRPr="00554C3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728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Verifica la</w:t>
            </w:r>
            <w:r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información obtenida a partir de </w:t>
            </w:r>
            <w:r w:rsidRPr="005A62E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estrategias de interpretación</w:t>
            </w:r>
            <w:r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5A62E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</w:t>
            </w:r>
            <w:r w:rsidRPr="005A62ED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inferencias, hipótesis, conjeturas, analogías, conclusiones, proposiciones</w:t>
            </w:r>
            <w:r w:rsidRPr="005A62E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) para captar el sentido global del texto. </w:t>
            </w:r>
          </w:p>
          <w:p w:rsidR="00FC3DF4" w:rsidRPr="0043284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3284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3284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Enuncia la relación </w:t>
            </w:r>
            <w:r w:rsidR="00432844" w:rsidRPr="0043284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entre las ideas principales y otros elementos que conforman el texto</w:t>
            </w:r>
            <w:r w:rsidR="00B3396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  <w:p w:rsidR="00FC3DF4" w:rsidRPr="0043284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43284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proofErr w:type="gramStart"/>
            <w:r w:rsidRPr="0043284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Justifica</w:t>
            </w:r>
            <w:r w:rsidR="00F962DA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</w:t>
            </w:r>
            <w:proofErr w:type="gramEnd"/>
            <w:r w:rsidR="00F962DA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argumenta) </w:t>
            </w:r>
            <w:r w:rsidRPr="0043284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 la secuencia lógica de los enunciados.</w:t>
            </w:r>
          </w:p>
          <w:p w:rsidR="00FC3DF4" w:rsidRPr="00432844" w:rsidRDefault="00FC3DF4" w:rsidP="00FC3DF4">
            <w:pPr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FC3DF4" w:rsidRPr="00554C3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554C3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554C3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554C3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554C3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656C3D" w:rsidRPr="00656C3D" w:rsidRDefault="00FC3DF4" w:rsidP="00656C3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C45911" w:themeColor="accent2" w:themeShade="BF"/>
              </w:rPr>
            </w:pPr>
            <w:r w:rsidRPr="000906D6">
              <w:rPr>
                <w:rFonts w:cs="Arial"/>
                <w:color w:val="C45911" w:themeColor="accent2" w:themeShade="BF"/>
              </w:rPr>
              <w:t xml:space="preserve">Describe las ideas </w:t>
            </w:r>
            <w:r w:rsidR="00656C3D">
              <w:rPr>
                <w:rFonts w:cs="Arial"/>
                <w:color w:val="C45911" w:themeColor="accent2" w:themeShade="BF"/>
              </w:rPr>
              <w:t xml:space="preserve">empleando </w:t>
            </w:r>
            <w:r w:rsidR="00656C3D" w:rsidRPr="00656C3D">
              <w:rPr>
                <w:rFonts w:cs="Arial"/>
                <w:color w:val="C45911" w:themeColor="accent2" w:themeShade="BF"/>
              </w:rPr>
              <w:t>el significado de las palabras desconocidas por medio de su relación con el contexto.</w:t>
            </w:r>
          </w:p>
          <w:p w:rsidR="00FC3DF4" w:rsidRPr="000906D6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06D6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06D6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06D6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554C34" w:rsidRDefault="00FC3DF4" w:rsidP="00FE0D18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0906D6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</w:t>
            </w:r>
            <w:r w:rsidR="00432844" w:rsidRPr="0043284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estrategias de interpretación</w:t>
            </w:r>
            <w:r w:rsidR="00FE0D18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:</w:t>
            </w:r>
            <w:r w:rsidR="00432844" w:rsidRPr="0043284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inferencias, hipótesis, conjeturas, analogías, conclusiones, </w:t>
            </w:r>
            <w:r w:rsidR="00FE0D18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proposiciones (y las con la información del texto).</w:t>
            </w:r>
          </w:p>
        </w:tc>
        <w:tc>
          <w:tcPr>
            <w:tcW w:w="6796" w:type="dxa"/>
          </w:tcPr>
          <w:p w:rsidR="00FC3DF4" w:rsidRPr="007C1CA5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364137" w:rsidRPr="00097283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64137" w:rsidRDefault="00364137" w:rsidP="00364137">
            <w:pPr>
              <w:jc w:val="both"/>
              <w:rPr>
                <w:color w:val="000000" w:themeColor="text1"/>
              </w:rPr>
            </w:pPr>
          </w:p>
          <w:p w:rsidR="00364137" w:rsidRPr="00CD70FD" w:rsidRDefault="00364137" w:rsidP="00364137">
            <w:pPr>
              <w:jc w:val="both"/>
              <w:rPr>
                <w:color w:val="000000" w:themeColor="text1"/>
              </w:rPr>
            </w:pPr>
          </w:p>
          <w:p w:rsidR="00364137" w:rsidRPr="003D3BE0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64137" w:rsidRDefault="00364137" w:rsidP="00364137">
            <w:pPr>
              <w:jc w:val="center"/>
            </w:pPr>
          </w:p>
          <w:p w:rsidR="00364137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Pr="00554C34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Pr="00097283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Default="00364137" w:rsidP="00364137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Default="00364137" w:rsidP="00364137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64137" w:rsidRPr="00097283" w:rsidRDefault="00364137" w:rsidP="00364137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C1CA5" w:rsidRDefault="00FC3DF4" w:rsidP="00364137">
            <w:pPr>
              <w:pStyle w:val="Sinespaciado"/>
              <w:jc w:val="center"/>
              <w:rPr>
                <w:b/>
              </w:rPr>
            </w:pPr>
          </w:p>
        </w:tc>
      </w:tr>
    </w:tbl>
    <w:p w:rsidR="00DE61E3" w:rsidRDefault="00DE61E3" w:rsidP="00DE61E3">
      <w:pPr>
        <w:tabs>
          <w:tab w:val="center" w:pos="4419"/>
        </w:tabs>
        <w:spacing w:after="0"/>
        <w:rPr>
          <w:b/>
        </w:rPr>
      </w:pPr>
    </w:p>
    <w:p w:rsidR="00DE61E3" w:rsidRPr="003053CA" w:rsidRDefault="00DE61E3" w:rsidP="00DE61E3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DE61E3" w:rsidRDefault="00DE61E3" w:rsidP="00FC3DF4">
      <w:pPr>
        <w:spacing w:after="0"/>
        <w:jc w:val="center"/>
        <w:rPr>
          <w:b/>
        </w:rPr>
      </w:pPr>
    </w:p>
    <w:p w:rsidR="00DE61E3" w:rsidRDefault="00DE61E3" w:rsidP="00FC3DF4">
      <w:pPr>
        <w:spacing w:after="0"/>
        <w:jc w:val="center"/>
        <w:rPr>
          <w:b/>
        </w:rPr>
      </w:pPr>
    </w:p>
    <w:p w:rsidR="00FC3DF4" w:rsidRDefault="00FC3DF4" w:rsidP="00FC3DF4">
      <w:pPr>
        <w:spacing w:after="0"/>
        <w:jc w:val="center"/>
        <w:rPr>
          <w:b/>
        </w:rPr>
      </w:pPr>
      <w:r w:rsidRPr="007C1CA5">
        <w:rPr>
          <w:b/>
        </w:rPr>
        <w:t>Instrumento de proceso</w:t>
      </w:r>
    </w:p>
    <w:p w:rsidR="00FC3DF4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984"/>
        <w:gridCol w:w="2963"/>
        <w:gridCol w:w="2822"/>
        <w:gridCol w:w="3225"/>
      </w:tblGrid>
      <w:tr w:rsidR="00FC3DF4" w:rsidRPr="00217429" w:rsidTr="00FC3DF4">
        <w:tc>
          <w:tcPr>
            <w:tcW w:w="1533" w:type="pct"/>
          </w:tcPr>
          <w:p w:rsidR="00FC3DF4" w:rsidRPr="00032F88" w:rsidRDefault="00FC3DF4" w:rsidP="00FC3DF4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1140" w:type="pct"/>
          </w:tcPr>
          <w:p w:rsidR="00FC3DF4" w:rsidRPr="00217429" w:rsidRDefault="00FC3DF4" w:rsidP="00FC3DF4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1086" w:type="pct"/>
          </w:tcPr>
          <w:p w:rsidR="00FC3DF4" w:rsidRPr="00217429" w:rsidRDefault="00FC3DF4" w:rsidP="00FC3DF4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1241" w:type="pct"/>
          </w:tcPr>
          <w:p w:rsidR="00FC3DF4" w:rsidRPr="00217429" w:rsidRDefault="00FC3DF4" w:rsidP="00FC3DF4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364137" w:rsidRPr="00F84E9C" w:rsidTr="00160BB9">
        <w:trPr>
          <w:trHeight w:val="590"/>
        </w:trPr>
        <w:tc>
          <w:tcPr>
            <w:tcW w:w="1533" w:type="pct"/>
          </w:tcPr>
          <w:p w:rsidR="00364137" w:rsidRDefault="00364137" w:rsidP="0036413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728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Verifica la</w:t>
            </w:r>
            <w:r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información obtenida a partir de </w:t>
            </w:r>
            <w:r w:rsidRPr="005A62E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estrategias de interpretación</w:t>
            </w:r>
            <w:r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5A62E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</w:t>
            </w:r>
            <w:r w:rsidRPr="005A62ED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inferencias, hipótesis, conjeturas, analogías, conclusiones, proposiciones</w:t>
            </w:r>
            <w:r w:rsidRPr="005A62E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) para captar el sentido global del texto. </w:t>
            </w:r>
          </w:p>
          <w:p w:rsidR="00364137" w:rsidRPr="005C2EBF" w:rsidRDefault="00364137" w:rsidP="00364137">
            <w:pPr>
              <w:pStyle w:val="Sinespaciado"/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140" w:type="pct"/>
          </w:tcPr>
          <w:p w:rsidR="00364137" w:rsidRDefault="00364137" w:rsidP="00364137">
            <w:pPr>
              <w:jc w:val="center"/>
              <w:rPr>
                <w:color w:val="000000" w:themeColor="text1"/>
              </w:rPr>
            </w:pPr>
          </w:p>
          <w:p w:rsidR="00364137" w:rsidRPr="00C44216" w:rsidRDefault="00364137" w:rsidP="003641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Enlista los temas tratados en el texto por medio de </w:t>
            </w:r>
            <w:r w:rsidRPr="00C44216">
              <w:rPr>
                <w:color w:val="000000" w:themeColor="text1"/>
              </w:rPr>
              <w:t>inferencias, hipótesis, conjeturas, analogías, conclusiones, proposiciones para captar el sentido global del texto.</w:t>
            </w:r>
          </w:p>
          <w:p w:rsidR="00364137" w:rsidRPr="00743CBF" w:rsidRDefault="00364137" w:rsidP="00364137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1086" w:type="pct"/>
            <w:vAlign w:val="center"/>
          </w:tcPr>
          <w:p w:rsidR="00364137" w:rsidRPr="00743CBF" w:rsidRDefault="00364137" w:rsidP="003641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Elige los temas tratados en el texto por medio de </w:t>
            </w:r>
            <w:r w:rsidRPr="00C44216">
              <w:rPr>
                <w:color w:val="000000" w:themeColor="text1"/>
              </w:rPr>
              <w:t xml:space="preserve">inferencias, hipótesis, conjeturas, analogías, conclusiones, proposiciones </w:t>
            </w:r>
            <w:r>
              <w:rPr>
                <w:color w:val="000000" w:themeColor="text1"/>
              </w:rPr>
              <w:t>y los relaciona con sus experiencias personales</w:t>
            </w:r>
            <w:r w:rsidRPr="00C44216">
              <w:rPr>
                <w:color w:val="000000" w:themeColor="text1"/>
              </w:rPr>
              <w:t xml:space="preserve"> para captar el sentido global del texto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241" w:type="pct"/>
            <w:vAlign w:val="center"/>
          </w:tcPr>
          <w:p w:rsidR="00364137" w:rsidRPr="00743CBF" w:rsidRDefault="00364137" w:rsidP="003641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Comprueba por medio de </w:t>
            </w:r>
            <w:r w:rsidRPr="00C44216">
              <w:rPr>
                <w:color w:val="000000" w:themeColor="text1"/>
              </w:rPr>
              <w:t xml:space="preserve">inferencias, hipótesis, conjeturas, analogías, conclusiones, proposiciones </w:t>
            </w:r>
            <w:r>
              <w:rPr>
                <w:color w:val="000000" w:themeColor="text1"/>
              </w:rPr>
              <w:t>la relación del texto con sus experiencias personales</w:t>
            </w:r>
            <w:r w:rsidRPr="00C44216">
              <w:rPr>
                <w:color w:val="000000" w:themeColor="text1"/>
              </w:rPr>
              <w:t xml:space="preserve"> para captar el sentido global del texto</w:t>
            </w:r>
            <w:r>
              <w:rPr>
                <w:color w:val="000000" w:themeColor="text1"/>
              </w:rPr>
              <w:t>.</w:t>
            </w:r>
          </w:p>
        </w:tc>
      </w:tr>
      <w:tr w:rsidR="00B3396E" w:rsidTr="00160BB9">
        <w:trPr>
          <w:trHeight w:val="901"/>
        </w:trPr>
        <w:tc>
          <w:tcPr>
            <w:tcW w:w="1533" w:type="pct"/>
          </w:tcPr>
          <w:p w:rsidR="00B3396E" w:rsidRPr="00432844" w:rsidRDefault="00B3396E" w:rsidP="00B3396E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3284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Enuncia la relación entre las ideas principales y otros elementos que conforman el texto</w:t>
            </w:r>
            <w:r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  <w:p w:rsidR="00B3396E" w:rsidRPr="005C2EBF" w:rsidRDefault="00B3396E" w:rsidP="00B3396E">
            <w:pPr>
              <w:pStyle w:val="Sinespaciado"/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140" w:type="pct"/>
          </w:tcPr>
          <w:p w:rsidR="00B3396E" w:rsidRPr="005B1824" w:rsidRDefault="00B3396E" w:rsidP="00B3396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70AD47" w:themeColor="accent6"/>
                <w:sz w:val="22"/>
                <w:szCs w:val="22"/>
                <w:lang w:eastAsia="en-US"/>
              </w:rPr>
            </w:pPr>
          </w:p>
          <w:p w:rsidR="00B3396E" w:rsidRPr="005B1824" w:rsidRDefault="00B3396E" w:rsidP="00B3396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70AD47" w:themeColor="accent6"/>
                <w:sz w:val="22"/>
                <w:szCs w:val="22"/>
                <w:lang w:eastAsia="en-US"/>
              </w:rPr>
            </w:pPr>
            <w:r w:rsidRPr="00303F1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Menciona </w:t>
            </w:r>
            <w:r w:rsidR="00303F19" w:rsidRPr="00303F1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las ideas principales y otros elementos que conforman el texto.</w:t>
            </w:r>
          </w:p>
        </w:tc>
        <w:tc>
          <w:tcPr>
            <w:tcW w:w="1086" w:type="pct"/>
            <w:vAlign w:val="center"/>
          </w:tcPr>
          <w:p w:rsidR="00B3396E" w:rsidRPr="005B1824" w:rsidRDefault="00B3396E" w:rsidP="00B3396E">
            <w:pPr>
              <w:jc w:val="center"/>
              <w:rPr>
                <w:color w:val="70AD47" w:themeColor="accent6"/>
              </w:rPr>
            </w:pPr>
            <w:r w:rsidRPr="00303F19">
              <w:rPr>
                <w:rFonts w:cs="Arial"/>
                <w:color w:val="000000" w:themeColor="text1"/>
              </w:rPr>
              <w:t xml:space="preserve">Narra mensajes con </w:t>
            </w:r>
            <w:r w:rsidR="00303F19" w:rsidRPr="00303F19">
              <w:rPr>
                <w:rFonts w:cs="Arial"/>
                <w:color w:val="000000" w:themeColor="text1"/>
              </w:rPr>
              <w:t>las ideas principales y otros elementos que conforman el texto.</w:t>
            </w:r>
          </w:p>
        </w:tc>
        <w:tc>
          <w:tcPr>
            <w:tcW w:w="1241" w:type="pct"/>
            <w:vAlign w:val="center"/>
          </w:tcPr>
          <w:p w:rsidR="00B3396E" w:rsidRPr="006B1DD0" w:rsidRDefault="00B3396E" w:rsidP="00B3396E">
            <w:pPr>
              <w:jc w:val="center"/>
            </w:pPr>
            <w:r w:rsidRPr="006B1DD0">
              <w:t xml:space="preserve">Detalla los mensajes con </w:t>
            </w:r>
            <w:r w:rsidR="006B1DD0" w:rsidRPr="006B1DD0">
              <w:rPr>
                <w:rFonts w:cs="Arial"/>
              </w:rPr>
              <w:t>las ideas principales y otros elementos que conforman el texto.</w:t>
            </w:r>
          </w:p>
        </w:tc>
      </w:tr>
      <w:tr w:rsidR="00B3396E" w:rsidTr="00160BB9">
        <w:trPr>
          <w:trHeight w:val="857"/>
        </w:trPr>
        <w:tc>
          <w:tcPr>
            <w:tcW w:w="1533" w:type="pct"/>
          </w:tcPr>
          <w:p w:rsidR="00B3396E" w:rsidRPr="005C2EBF" w:rsidRDefault="00B3396E" w:rsidP="00F962DA">
            <w:pPr>
              <w:pStyle w:val="Sinespaciado"/>
              <w:jc w:val="center"/>
              <w:rPr>
                <w:rFonts w:cs="Arial"/>
                <w:color w:val="BF8F00" w:themeColor="accent4" w:themeShade="BF"/>
              </w:rPr>
            </w:pPr>
            <w:r w:rsidRPr="0043284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Justifica</w:t>
            </w:r>
            <w:r w:rsidR="00F962DA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(argumenta) </w:t>
            </w:r>
            <w:r w:rsidRPr="0043284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la secuencia lógica de los enunciados.</w:t>
            </w:r>
          </w:p>
        </w:tc>
        <w:tc>
          <w:tcPr>
            <w:tcW w:w="1140" w:type="pct"/>
          </w:tcPr>
          <w:p w:rsidR="00B3396E" w:rsidRPr="005B1824" w:rsidRDefault="00B3396E" w:rsidP="003A2B67">
            <w:pPr>
              <w:jc w:val="center"/>
              <w:rPr>
                <w:color w:val="70AD47" w:themeColor="accent6"/>
              </w:rPr>
            </w:pPr>
            <w:r w:rsidRPr="00170132">
              <w:t>Anota ideas principales y complementarias para el mensaje.</w:t>
            </w:r>
          </w:p>
        </w:tc>
        <w:tc>
          <w:tcPr>
            <w:tcW w:w="1086" w:type="pct"/>
            <w:vAlign w:val="center"/>
          </w:tcPr>
          <w:p w:rsidR="00B3396E" w:rsidRPr="00170132" w:rsidRDefault="00B3396E" w:rsidP="00170132">
            <w:pPr>
              <w:jc w:val="center"/>
            </w:pPr>
            <w:r w:rsidRPr="00170132">
              <w:t>Relata  los enunciados con sentido lógico.</w:t>
            </w:r>
          </w:p>
        </w:tc>
        <w:tc>
          <w:tcPr>
            <w:tcW w:w="1241" w:type="pct"/>
            <w:vAlign w:val="center"/>
          </w:tcPr>
          <w:p w:rsidR="00B3396E" w:rsidRPr="005B1824" w:rsidRDefault="00B3396E" w:rsidP="00170132">
            <w:pPr>
              <w:jc w:val="center"/>
              <w:rPr>
                <w:color w:val="70AD47" w:themeColor="accent6"/>
              </w:rPr>
            </w:pPr>
            <w:r w:rsidRPr="00170132">
              <w:t xml:space="preserve">Fundamenta la estructura del enunciado con </w:t>
            </w:r>
            <w:r w:rsidR="00170132" w:rsidRPr="00170132">
              <w:rPr>
                <w:rFonts w:ascii="MyriadPro-Regular" w:hAnsi="MyriadPro-Regular" w:cs="MyriadPro-Regular"/>
              </w:rPr>
              <w:t>las secuencias textuales y la coherencia y  cohesión textual.</w:t>
            </w:r>
          </w:p>
        </w:tc>
      </w:tr>
      <w:tr w:rsidR="00FC3DF4" w:rsidTr="00FC3DF4">
        <w:trPr>
          <w:trHeight w:val="857"/>
        </w:trPr>
        <w:tc>
          <w:tcPr>
            <w:tcW w:w="1533" w:type="pct"/>
            <w:vAlign w:val="center"/>
          </w:tcPr>
          <w:p w:rsidR="00FC3DF4" w:rsidRPr="000906D6" w:rsidRDefault="000C6F3E" w:rsidP="000C6F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ED7D31" w:themeColor="accent2"/>
              </w:rPr>
            </w:pPr>
            <w:r w:rsidRPr="000906D6">
              <w:rPr>
                <w:rFonts w:cs="Arial"/>
                <w:color w:val="C45911" w:themeColor="accent2" w:themeShade="BF"/>
              </w:rPr>
              <w:t xml:space="preserve">Describe las ideas </w:t>
            </w:r>
            <w:r>
              <w:rPr>
                <w:rFonts w:cs="Arial"/>
                <w:color w:val="C45911" w:themeColor="accent2" w:themeShade="BF"/>
              </w:rPr>
              <w:t xml:space="preserve">empleando </w:t>
            </w:r>
            <w:r w:rsidRPr="00656C3D">
              <w:rPr>
                <w:rFonts w:cs="Arial"/>
                <w:color w:val="C45911" w:themeColor="accent2" w:themeShade="BF"/>
              </w:rPr>
              <w:t>el significado de las palabras desconocidas por medio de su relación con el contexto.</w:t>
            </w:r>
          </w:p>
        </w:tc>
        <w:tc>
          <w:tcPr>
            <w:tcW w:w="1140" w:type="pct"/>
          </w:tcPr>
          <w:p w:rsidR="00FC3DF4" w:rsidRPr="00CF00CF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Menciona </w:t>
            </w:r>
            <w:r w:rsidR="000C6F3E" w:rsidRPr="000C6F3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ideas empleando el significado de las palabras desconocidas por medio de su relación con el contexto</w:t>
            </w: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en diferentes situaciones comunicativas.</w:t>
            </w:r>
          </w:p>
        </w:tc>
        <w:tc>
          <w:tcPr>
            <w:tcW w:w="1086" w:type="pct"/>
            <w:vAlign w:val="center"/>
          </w:tcPr>
          <w:p w:rsidR="00FC3DF4" w:rsidRPr="00CF00CF" w:rsidRDefault="000C6F3E" w:rsidP="000C6F3E">
            <w:pPr>
              <w:jc w:val="center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Alude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="00FC3DF4">
              <w:rPr>
                <w:color w:val="000000" w:themeColor="text1"/>
              </w:rPr>
              <w:t>estrategias para expo</w:t>
            </w:r>
            <w:r>
              <w:rPr>
                <w:color w:val="000000" w:themeColor="text1"/>
              </w:rPr>
              <w:t>ner</w:t>
            </w:r>
            <w:r w:rsidRPr="000C6F3E">
              <w:rPr>
                <w:color w:val="000000" w:themeColor="text1"/>
              </w:rPr>
              <w:t xml:space="preserve"> ideas</w:t>
            </w:r>
            <w:r>
              <w:rPr>
                <w:color w:val="000000" w:themeColor="text1"/>
              </w:rPr>
              <w:t>,</w:t>
            </w:r>
            <w:r w:rsidRPr="000C6F3E">
              <w:rPr>
                <w:color w:val="000000" w:themeColor="text1"/>
              </w:rPr>
              <w:t xml:space="preserve"> empleando el significado de las palabras desconocidas por medio de su relación con el contexto</w:t>
            </w:r>
            <w:r w:rsidR="00FC3DF4">
              <w:rPr>
                <w:color w:val="000000" w:themeColor="text1"/>
              </w:rPr>
              <w:t>.</w:t>
            </w:r>
          </w:p>
        </w:tc>
        <w:tc>
          <w:tcPr>
            <w:tcW w:w="1241" w:type="pct"/>
            <w:vAlign w:val="center"/>
          </w:tcPr>
          <w:p w:rsidR="00FC3DF4" w:rsidRPr="00CF00CF" w:rsidRDefault="00FC3DF4" w:rsidP="00F502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Relata </w:t>
            </w:r>
            <w:bookmarkStart w:id="0" w:name="_GoBack"/>
            <w:bookmarkEnd w:id="0"/>
            <w:r w:rsidR="000C6F3E" w:rsidRPr="000C6F3E">
              <w:rPr>
                <w:color w:val="000000" w:themeColor="text1"/>
              </w:rPr>
              <w:t>ideas</w:t>
            </w:r>
            <w:r w:rsidR="000C6F3E">
              <w:rPr>
                <w:color w:val="000000" w:themeColor="text1"/>
              </w:rPr>
              <w:t>,</w:t>
            </w:r>
            <w:r w:rsidR="000C6F3E" w:rsidRPr="000C6F3E">
              <w:rPr>
                <w:color w:val="000000" w:themeColor="text1"/>
              </w:rPr>
              <w:t xml:space="preserve"> empleando el significado de las palabras desconocidas por medio de su relación con el contexto</w:t>
            </w:r>
            <w:r w:rsidR="000C6F3E">
              <w:rPr>
                <w:color w:val="000000" w:themeColor="text1"/>
              </w:rPr>
              <w:t>. (En exposición oral.)</w:t>
            </w:r>
          </w:p>
        </w:tc>
      </w:tr>
      <w:tr w:rsidR="00FC3DF4" w:rsidTr="00FC3DF4">
        <w:trPr>
          <w:trHeight w:val="914"/>
        </w:trPr>
        <w:tc>
          <w:tcPr>
            <w:tcW w:w="1533" w:type="pct"/>
            <w:vAlign w:val="center"/>
          </w:tcPr>
          <w:p w:rsidR="00FC3DF4" w:rsidRPr="000906D6" w:rsidRDefault="000C6F3E" w:rsidP="00FC3DF4">
            <w:pPr>
              <w:jc w:val="center"/>
              <w:rPr>
                <w:rFonts w:cs="Arial"/>
                <w:color w:val="ED7D31" w:themeColor="accent2"/>
              </w:rPr>
            </w:pPr>
            <w:r w:rsidRPr="000906D6">
              <w:rPr>
                <w:rFonts w:cs="Arial"/>
                <w:color w:val="C45911" w:themeColor="accent2" w:themeShade="BF"/>
              </w:rPr>
              <w:t xml:space="preserve">Utiliza </w:t>
            </w:r>
            <w:r w:rsidRPr="00432844">
              <w:rPr>
                <w:rFonts w:cs="Arial"/>
                <w:color w:val="C45911" w:themeColor="accent2" w:themeShade="BF"/>
              </w:rPr>
              <w:t>estrategias de interpretación</w:t>
            </w:r>
            <w:r>
              <w:rPr>
                <w:rFonts w:cs="Arial"/>
                <w:color w:val="C45911" w:themeColor="accent2" w:themeShade="BF"/>
              </w:rPr>
              <w:t>:</w:t>
            </w:r>
            <w:r w:rsidRPr="00432844">
              <w:rPr>
                <w:rFonts w:cs="Arial"/>
                <w:color w:val="C45911" w:themeColor="accent2" w:themeShade="BF"/>
              </w:rPr>
              <w:t xml:space="preserve"> inferencias, hipótesis, conjeturas, analogías, conclusiones, </w:t>
            </w:r>
            <w:r>
              <w:rPr>
                <w:rFonts w:cs="Arial"/>
                <w:color w:val="C45911" w:themeColor="accent2" w:themeShade="BF"/>
              </w:rPr>
              <w:t>proposiciones (y las</w:t>
            </w:r>
            <w:r w:rsidR="00B62853">
              <w:rPr>
                <w:rFonts w:cs="Arial"/>
                <w:color w:val="C45911" w:themeColor="accent2" w:themeShade="BF"/>
              </w:rPr>
              <w:t xml:space="preserve"> relaciona</w:t>
            </w:r>
            <w:r>
              <w:rPr>
                <w:rFonts w:cs="Arial"/>
                <w:color w:val="C45911" w:themeColor="accent2" w:themeShade="BF"/>
              </w:rPr>
              <w:t xml:space="preserve"> con la información del texto).</w:t>
            </w:r>
          </w:p>
        </w:tc>
        <w:tc>
          <w:tcPr>
            <w:tcW w:w="1140" w:type="pct"/>
          </w:tcPr>
          <w:p w:rsidR="00FC3DF4" w:rsidRPr="00CF00CF" w:rsidRDefault="00FC3DF4" w:rsidP="0009501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Indica el propósito de los significados  compartidos  </w:t>
            </w:r>
            <w:r w:rsidR="0009501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a través de la interpretación empleada. </w:t>
            </w:r>
          </w:p>
        </w:tc>
        <w:tc>
          <w:tcPr>
            <w:tcW w:w="1086" w:type="pct"/>
            <w:vAlign w:val="center"/>
          </w:tcPr>
          <w:p w:rsidR="00FC3DF4" w:rsidRPr="00CF00CF" w:rsidRDefault="00FC3DF4" w:rsidP="000950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Relata </w:t>
            </w:r>
            <w:r w:rsidR="00095010">
              <w:rPr>
                <w:color w:val="000000" w:themeColor="text1"/>
              </w:rPr>
              <w:t>el propósito de los significados  compartidos  a través de la interpretación empleada.</w:t>
            </w:r>
            <w:r w:rsidRPr="00CF00CF">
              <w:rPr>
                <w:color w:val="000000" w:themeColor="text1"/>
              </w:rPr>
              <w:t xml:space="preserve"> </w:t>
            </w:r>
          </w:p>
        </w:tc>
        <w:tc>
          <w:tcPr>
            <w:tcW w:w="1241" w:type="pct"/>
            <w:vAlign w:val="center"/>
          </w:tcPr>
          <w:p w:rsidR="00FC3DF4" w:rsidRPr="00CF00CF" w:rsidRDefault="00FC3DF4" w:rsidP="00FC3D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Emplea  </w:t>
            </w:r>
            <w:r w:rsidR="00095010" w:rsidRPr="00095010">
              <w:rPr>
                <w:color w:val="000000" w:themeColor="text1"/>
              </w:rPr>
              <w:t>estrategias de interpretación: inferencias, hipótesis, conjeturas, analogías, conclusiones, proposiciones (y las</w:t>
            </w:r>
            <w:r w:rsidR="00B62853">
              <w:rPr>
                <w:color w:val="000000" w:themeColor="text1"/>
              </w:rPr>
              <w:t xml:space="preserve"> relaciona</w:t>
            </w:r>
            <w:r w:rsidR="00095010" w:rsidRPr="00095010">
              <w:rPr>
                <w:color w:val="000000" w:themeColor="text1"/>
              </w:rPr>
              <w:t xml:space="preserve"> con la información del texto).</w:t>
            </w:r>
          </w:p>
        </w:tc>
      </w:tr>
    </w:tbl>
    <w:p w:rsidR="00F149C5" w:rsidRDefault="00F149C5" w:rsidP="00A374D6">
      <w:pPr>
        <w:jc w:val="center"/>
        <w:rPr>
          <w:b/>
        </w:rPr>
      </w:pPr>
    </w:p>
    <w:p w:rsidR="006C03AA" w:rsidRDefault="006C03AA" w:rsidP="00A374D6">
      <w:pPr>
        <w:jc w:val="center"/>
        <w:rPr>
          <w:b/>
        </w:rPr>
      </w:pPr>
    </w:p>
    <w:p w:rsidR="006C03AA" w:rsidRDefault="006C03AA" w:rsidP="00A374D6">
      <w:pPr>
        <w:jc w:val="center"/>
        <w:rPr>
          <w:b/>
        </w:rPr>
      </w:pPr>
    </w:p>
    <w:p w:rsidR="006C03AA" w:rsidRDefault="006C03AA" w:rsidP="00A374D6">
      <w:pPr>
        <w:jc w:val="center"/>
        <w:rPr>
          <w:b/>
        </w:rPr>
      </w:pPr>
    </w:p>
    <w:p w:rsidR="006C03AA" w:rsidRDefault="006C03AA" w:rsidP="00A374D6">
      <w:pPr>
        <w:jc w:val="center"/>
        <w:rPr>
          <w:b/>
        </w:rPr>
      </w:pPr>
    </w:p>
    <w:p w:rsidR="006C03AA" w:rsidRDefault="006C03AA" w:rsidP="00A374D6">
      <w:pPr>
        <w:jc w:val="center"/>
        <w:rPr>
          <w:b/>
        </w:rPr>
      </w:pPr>
    </w:p>
    <w:p w:rsidR="006C03AA" w:rsidRDefault="006C03AA" w:rsidP="00A374D6">
      <w:pPr>
        <w:jc w:val="center"/>
        <w:rPr>
          <w:b/>
        </w:rPr>
      </w:pPr>
    </w:p>
    <w:p w:rsidR="006C03AA" w:rsidRDefault="006C03AA" w:rsidP="00A374D6">
      <w:pPr>
        <w:jc w:val="center"/>
        <w:rPr>
          <w:b/>
        </w:rPr>
      </w:pPr>
    </w:p>
    <w:p w:rsidR="006C03AA" w:rsidRDefault="006C03AA" w:rsidP="006C03A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6C03AA" w:rsidRDefault="006C03AA" w:rsidP="006C03A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C03AA" w:rsidRDefault="006C03AA" w:rsidP="006C03A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6C03AA" w:rsidRDefault="006C03AA" w:rsidP="006C03A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C03AA" w:rsidRDefault="006C03AA" w:rsidP="006C03A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6C03AA" w:rsidRDefault="006C03AA" w:rsidP="006C03A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6C03AA" w:rsidRDefault="006C03AA" w:rsidP="006C03A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C03AA" w:rsidRDefault="006C03AA" w:rsidP="006C03A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6C03AA" w:rsidRDefault="006C03AA" w:rsidP="006C03A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C03AA" w:rsidRDefault="006C03AA" w:rsidP="006C03A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6C03AA" w:rsidRDefault="006C03AA" w:rsidP="006C03A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Asesor nacional de Español</w:t>
      </w:r>
    </w:p>
    <w:p w:rsidR="006C03AA" w:rsidRDefault="006C03AA" w:rsidP="006C03AA">
      <w:pPr>
        <w:pStyle w:val="Sinespaciado"/>
        <w:rPr>
          <w:rFonts w:ascii="Cambria" w:eastAsia="Calibri" w:hAnsi="Cambria" w:cs="Arial"/>
          <w:lang w:eastAsia="en-US"/>
        </w:rPr>
      </w:pPr>
    </w:p>
    <w:p w:rsidR="006C03AA" w:rsidRDefault="006C03AA" w:rsidP="006C03A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6C03AA" w:rsidRDefault="006C03AA" w:rsidP="006C03A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6C03AA" w:rsidRDefault="006C03AA" w:rsidP="006C03AA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Español.</w:t>
      </w:r>
    </w:p>
    <w:p w:rsidR="006C03AA" w:rsidRDefault="006C03AA" w:rsidP="006C03A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Español. </w:t>
      </w:r>
    </w:p>
    <w:p w:rsidR="006C03AA" w:rsidRDefault="006C03AA" w:rsidP="006C03A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6C03AA" w:rsidRDefault="006C03AA" w:rsidP="006C03A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6C03AA" w:rsidRDefault="006C03AA" w:rsidP="006C03A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6C03AA" w:rsidRDefault="006C03AA" w:rsidP="006C03A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6C03AA" w:rsidRDefault="006C03AA" w:rsidP="006C03AA">
      <w:pPr>
        <w:rPr>
          <w:rFonts w:ascii="Calibri" w:eastAsia="Calibri" w:hAnsi="Calibri" w:cs="Times New Roman"/>
        </w:rPr>
      </w:pPr>
      <w:r>
        <w:t xml:space="preserve"> </w:t>
      </w:r>
    </w:p>
    <w:p w:rsidR="006C03AA" w:rsidRDefault="006C03AA" w:rsidP="006C03AA">
      <w:pPr>
        <w:rPr>
          <w:b/>
        </w:rPr>
      </w:pPr>
      <w:r>
        <w:rPr>
          <w:b/>
        </w:rPr>
        <w:t>Docentes:</w:t>
      </w:r>
    </w:p>
    <w:p w:rsidR="006C03AA" w:rsidRDefault="006C03AA" w:rsidP="006C03AA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6C03AA" w:rsidRDefault="006C03AA" w:rsidP="006C03AA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6C03AA" w:rsidRDefault="006C03AA" w:rsidP="006C03AA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6C03AA" w:rsidRDefault="006C03AA" w:rsidP="006C03AA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6C03AA" w:rsidRDefault="006C03AA" w:rsidP="006C03AA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6C03AA" w:rsidRDefault="006C03AA" w:rsidP="006C03AA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6C03AA" w:rsidRDefault="006C03AA" w:rsidP="006C03AA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6C03AA" w:rsidRDefault="006C03AA" w:rsidP="00A374D6">
      <w:pPr>
        <w:jc w:val="center"/>
        <w:rPr>
          <w:b/>
        </w:rPr>
      </w:pPr>
    </w:p>
    <w:sectPr w:rsidR="006C03AA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BDC" w:rsidRDefault="00486BDC" w:rsidP="00140D69">
      <w:pPr>
        <w:spacing w:after="0" w:line="240" w:lineRule="auto"/>
      </w:pPr>
      <w:r>
        <w:separator/>
      </w:r>
    </w:p>
  </w:endnote>
  <w:endnote w:type="continuationSeparator" w:id="0">
    <w:p w:rsidR="00486BDC" w:rsidRDefault="00486BDC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12" w:rsidRDefault="00EF3B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12" w:rsidRDefault="00EF3B12" w:rsidP="00EF3B12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EF3B12" w:rsidRDefault="00EF3B1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12" w:rsidRDefault="00EF3B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BDC" w:rsidRDefault="00486BDC" w:rsidP="00140D69">
      <w:pPr>
        <w:spacing w:after="0" w:line="240" w:lineRule="auto"/>
      </w:pPr>
      <w:r>
        <w:separator/>
      </w:r>
    </w:p>
  </w:footnote>
  <w:footnote w:type="continuationSeparator" w:id="0">
    <w:p w:rsidR="00486BDC" w:rsidRDefault="00486BDC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12" w:rsidRDefault="00EF3B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12" w:rsidRDefault="00EF3B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12" w:rsidRDefault="00EF3B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010"/>
    <w:rsid w:val="00095E51"/>
    <w:rsid w:val="000A1C7A"/>
    <w:rsid w:val="000A6BAC"/>
    <w:rsid w:val="000C24A6"/>
    <w:rsid w:val="000C6F3E"/>
    <w:rsid w:val="000C7F95"/>
    <w:rsid w:val="000D290A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132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87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03F19"/>
    <w:rsid w:val="003172CB"/>
    <w:rsid w:val="0032004C"/>
    <w:rsid w:val="00326213"/>
    <w:rsid w:val="00330C8D"/>
    <w:rsid w:val="00331C22"/>
    <w:rsid w:val="0033297A"/>
    <w:rsid w:val="00351BE7"/>
    <w:rsid w:val="003631CE"/>
    <w:rsid w:val="00364137"/>
    <w:rsid w:val="00365917"/>
    <w:rsid w:val="00366809"/>
    <w:rsid w:val="00366BBE"/>
    <w:rsid w:val="00374ABB"/>
    <w:rsid w:val="00383DCC"/>
    <w:rsid w:val="003A0FBA"/>
    <w:rsid w:val="003A2B67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2844"/>
    <w:rsid w:val="00432C76"/>
    <w:rsid w:val="004333FA"/>
    <w:rsid w:val="00436072"/>
    <w:rsid w:val="00440F4E"/>
    <w:rsid w:val="004516A4"/>
    <w:rsid w:val="0045470C"/>
    <w:rsid w:val="004609F9"/>
    <w:rsid w:val="00463D8D"/>
    <w:rsid w:val="00470226"/>
    <w:rsid w:val="00481703"/>
    <w:rsid w:val="00486BDC"/>
    <w:rsid w:val="004904A4"/>
    <w:rsid w:val="00497D6D"/>
    <w:rsid w:val="004A1D2D"/>
    <w:rsid w:val="004A4D12"/>
    <w:rsid w:val="004A4EEC"/>
    <w:rsid w:val="004A5845"/>
    <w:rsid w:val="004A62BF"/>
    <w:rsid w:val="004B49F7"/>
    <w:rsid w:val="004B4A90"/>
    <w:rsid w:val="004D0A8A"/>
    <w:rsid w:val="004D7A93"/>
    <w:rsid w:val="004E1A44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B1824"/>
    <w:rsid w:val="005C3A1D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6C3D"/>
    <w:rsid w:val="00657491"/>
    <w:rsid w:val="00674D0D"/>
    <w:rsid w:val="00675F99"/>
    <w:rsid w:val="006969B6"/>
    <w:rsid w:val="006A5783"/>
    <w:rsid w:val="006B1DD0"/>
    <w:rsid w:val="006B42E9"/>
    <w:rsid w:val="006B7493"/>
    <w:rsid w:val="006C03AA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09A9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7033"/>
    <w:rsid w:val="00A374D6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396E"/>
    <w:rsid w:val="00B36024"/>
    <w:rsid w:val="00B37D86"/>
    <w:rsid w:val="00B37FBC"/>
    <w:rsid w:val="00B566C4"/>
    <w:rsid w:val="00B61DB0"/>
    <w:rsid w:val="00B62853"/>
    <w:rsid w:val="00B63565"/>
    <w:rsid w:val="00B66DA1"/>
    <w:rsid w:val="00B759F4"/>
    <w:rsid w:val="00B83326"/>
    <w:rsid w:val="00B903FF"/>
    <w:rsid w:val="00B93128"/>
    <w:rsid w:val="00BA10E7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66747"/>
    <w:rsid w:val="00D702B1"/>
    <w:rsid w:val="00D85E49"/>
    <w:rsid w:val="00D97929"/>
    <w:rsid w:val="00DA4E2D"/>
    <w:rsid w:val="00DA628B"/>
    <w:rsid w:val="00DB16C0"/>
    <w:rsid w:val="00DB48B0"/>
    <w:rsid w:val="00DE61E3"/>
    <w:rsid w:val="00DF221A"/>
    <w:rsid w:val="00E02759"/>
    <w:rsid w:val="00E02AD8"/>
    <w:rsid w:val="00E07E5D"/>
    <w:rsid w:val="00E173E3"/>
    <w:rsid w:val="00E31B6A"/>
    <w:rsid w:val="00E34330"/>
    <w:rsid w:val="00E3585B"/>
    <w:rsid w:val="00E43708"/>
    <w:rsid w:val="00E5296A"/>
    <w:rsid w:val="00E559CD"/>
    <w:rsid w:val="00E6375F"/>
    <w:rsid w:val="00E66E16"/>
    <w:rsid w:val="00E7111C"/>
    <w:rsid w:val="00E80F64"/>
    <w:rsid w:val="00E81435"/>
    <w:rsid w:val="00E84498"/>
    <w:rsid w:val="00EA065F"/>
    <w:rsid w:val="00EA0F40"/>
    <w:rsid w:val="00EB5EE2"/>
    <w:rsid w:val="00EE33B0"/>
    <w:rsid w:val="00EE476D"/>
    <w:rsid w:val="00EF1EFC"/>
    <w:rsid w:val="00EF3B12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0230"/>
    <w:rsid w:val="00F50DA2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962DA"/>
    <w:rsid w:val="00FA0C70"/>
    <w:rsid w:val="00FC25EB"/>
    <w:rsid w:val="00FC3DF4"/>
    <w:rsid w:val="00FE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paragraph" w:styleId="Textonotapie">
    <w:name w:val="footnote text"/>
    <w:basedOn w:val="Normal"/>
    <w:link w:val="TextonotapieCar"/>
    <w:uiPriority w:val="99"/>
    <w:semiHidden/>
    <w:unhideWhenUsed/>
    <w:rsid w:val="0036413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6413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64137"/>
    <w:rPr>
      <w:vertAlign w:val="superscript"/>
    </w:rPr>
  </w:style>
  <w:style w:type="character" w:customStyle="1" w:styleId="SinespaciadoCar">
    <w:name w:val="Sin espaciado Car"/>
    <w:link w:val="Sinespaciado"/>
    <w:uiPriority w:val="1"/>
    <w:locked/>
    <w:rsid w:val="006C03AA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E9F9A-EF77-4A09-BBD4-23967F46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1733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30</cp:revision>
  <dcterms:created xsi:type="dcterms:W3CDTF">2019-07-22T13:25:00Z</dcterms:created>
  <dcterms:modified xsi:type="dcterms:W3CDTF">2019-12-02T19:29:00Z</dcterms:modified>
</cp:coreProperties>
</file>