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97C" w:rsidRDefault="00B2297C" w:rsidP="00B2297C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B2297C" w:rsidRDefault="00B2297C" w:rsidP="00B2297C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B2297C" w:rsidRDefault="00B2297C" w:rsidP="00B2297C">
      <w:pPr>
        <w:spacing w:after="0" w:line="240" w:lineRule="auto"/>
        <w:jc w:val="center"/>
      </w:pP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B2297C" w:rsidRDefault="00B2297C" w:rsidP="00B2297C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3F7157" w:rsidRDefault="003F7157" w:rsidP="003F7157">
      <w:pPr>
        <w:jc w:val="center"/>
        <w:rPr>
          <w:b/>
        </w:rPr>
      </w:pPr>
      <w:r w:rsidRPr="0090754F">
        <w:rPr>
          <w:b/>
        </w:rPr>
        <w:lastRenderedPageBreak/>
        <w:t xml:space="preserve">Plantilla de planeamiento didáctico de Español </w:t>
      </w:r>
    </w:p>
    <w:p w:rsidR="0043107F" w:rsidRDefault="0043107F" w:rsidP="0043107F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3F7157" w:rsidRPr="000A3F45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F7157" w:rsidRPr="000A3F45" w:rsidRDefault="003F7157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A3F45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0A3F45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F7157" w:rsidRPr="000A3F45" w:rsidRDefault="003F7157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A3F45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3F7157" w:rsidRPr="000A3F45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F7157" w:rsidRPr="000A3F45" w:rsidRDefault="003F7157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A3F45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DF3936" w:rsidRPr="000A3F45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0A3F45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0A3F45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F7157" w:rsidRPr="000A3F45" w:rsidRDefault="003F7157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A3F45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3F7157" w:rsidRPr="0090754F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F7157" w:rsidRPr="000A3F45" w:rsidRDefault="003F7157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A3F45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F7157" w:rsidRPr="000A3F45" w:rsidRDefault="003F7157" w:rsidP="00DF3936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A3F45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DF3936" w:rsidRPr="000A3F45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0A3F45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F7157" w:rsidRPr="0090754F" w:rsidRDefault="003F7157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A3F45">
              <w:rPr>
                <w:rFonts w:asciiTheme="minorHAnsi" w:hAnsiTheme="minorHAnsi" w:cs="Arial"/>
                <w:b/>
                <w:sz w:val="22"/>
                <w:szCs w:val="22"/>
              </w:rPr>
              <w:t>Mes:</w:t>
            </w:r>
            <w:r w:rsidRPr="0090754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3F7157" w:rsidRPr="0090754F" w:rsidRDefault="003F7157" w:rsidP="003F7157">
      <w:pPr>
        <w:spacing w:after="0"/>
        <w:rPr>
          <w:b/>
        </w:rPr>
      </w:pPr>
    </w:p>
    <w:p w:rsidR="0043107F" w:rsidRPr="003053CA" w:rsidRDefault="0043107F" w:rsidP="0043107F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90754F" w:rsidRPr="0090754F" w:rsidRDefault="0090754F" w:rsidP="003F7157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90754F" w:rsidRPr="0090754F" w:rsidTr="0090754F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0754F" w:rsidRPr="0090754F" w:rsidRDefault="0090754F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90754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0754F" w:rsidRPr="0090754F" w:rsidRDefault="000A7BF5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90754F" w:rsidRPr="0090754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90754F" w:rsidRPr="0090754F" w:rsidTr="0090754F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0754F" w:rsidRPr="0090754F" w:rsidRDefault="0090754F" w:rsidP="0090754F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90754F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 a</w:t>
            </w:r>
          </w:p>
          <w:p w:rsidR="0090754F" w:rsidRPr="0090754F" w:rsidRDefault="0090754F" w:rsidP="0090754F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90754F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Aprender:</w:t>
            </w:r>
          </w:p>
          <w:p w:rsidR="0090754F" w:rsidRPr="0090754F" w:rsidRDefault="0090754F" w:rsidP="0090754F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754F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aprendizaje.</w:t>
            </w:r>
          </w:p>
          <w:p w:rsidR="0090754F" w:rsidRPr="0090754F" w:rsidRDefault="0090754F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90754F" w:rsidRPr="0090754F" w:rsidRDefault="0090754F" w:rsidP="0090754F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90754F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Planificación</w:t>
            </w:r>
          </w:p>
          <w:p w:rsidR="0090754F" w:rsidRPr="0090754F" w:rsidRDefault="0090754F" w:rsidP="0090754F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(Planifica sus estrategias de aprendizaje desde el autoconocimiento y la naturaleza y contexto de las tareas por realizar).</w:t>
            </w:r>
          </w:p>
          <w:p w:rsidR="0090754F" w:rsidRPr="0090754F" w:rsidRDefault="0090754F" w:rsidP="00034D5A">
            <w:pPr>
              <w:jc w:val="both"/>
              <w:rPr>
                <w:color w:val="000000" w:themeColor="text1"/>
              </w:rPr>
            </w:pPr>
          </w:p>
        </w:tc>
      </w:tr>
      <w:tr w:rsidR="0090754F" w:rsidRPr="0090754F" w:rsidTr="0090754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0754F" w:rsidRPr="0090754F" w:rsidRDefault="0090754F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90754F" w:rsidRPr="0090754F" w:rsidRDefault="0090754F" w:rsidP="0090754F">
            <w:pPr>
              <w:jc w:val="center"/>
              <w:rPr>
                <w:rFonts w:cs="Arial"/>
                <w:b/>
              </w:rPr>
            </w:pPr>
            <w:r w:rsidRPr="0090754F">
              <w:rPr>
                <w:rFonts w:cs="Arial"/>
                <w:b/>
              </w:rPr>
              <w:t>Autorregulación</w:t>
            </w:r>
          </w:p>
          <w:p w:rsidR="0090754F" w:rsidRPr="0090754F" w:rsidRDefault="0090754F" w:rsidP="0090754F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(Desarrolla autonomía en las tareas que debe realizar para alcanzar los propósitos que se ha propuesto).</w:t>
            </w:r>
          </w:p>
          <w:p w:rsidR="0090754F" w:rsidRPr="0090754F" w:rsidRDefault="0090754F" w:rsidP="00034D5A">
            <w:pPr>
              <w:jc w:val="center"/>
              <w:rPr>
                <w:color w:val="000000" w:themeColor="text1"/>
              </w:rPr>
            </w:pPr>
          </w:p>
        </w:tc>
      </w:tr>
      <w:tr w:rsidR="0090754F" w:rsidRPr="0090754F" w:rsidTr="0090754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90754F" w:rsidRPr="0090754F" w:rsidRDefault="0090754F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90754F" w:rsidRPr="0090754F" w:rsidRDefault="0090754F" w:rsidP="0090754F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90754F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Evaluación</w:t>
            </w:r>
          </w:p>
          <w:p w:rsidR="0090754F" w:rsidRPr="0090754F" w:rsidRDefault="0090754F" w:rsidP="0090754F">
            <w:pPr>
              <w:jc w:val="center"/>
            </w:pPr>
            <w:r w:rsidRPr="0090754F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90754F" w:rsidRPr="0090754F" w:rsidRDefault="0090754F" w:rsidP="003F7157">
      <w:pPr>
        <w:spacing w:after="0"/>
        <w:rPr>
          <w:b/>
        </w:rPr>
      </w:pPr>
    </w:p>
    <w:p w:rsidR="0090754F" w:rsidRPr="0090754F" w:rsidRDefault="0090754F" w:rsidP="003F7157">
      <w:pPr>
        <w:spacing w:after="0"/>
        <w:rPr>
          <w:b/>
        </w:rPr>
      </w:pPr>
    </w:p>
    <w:p w:rsidR="003F7157" w:rsidRPr="0090754F" w:rsidRDefault="003F7157" w:rsidP="003F7157">
      <w:pPr>
        <w:rPr>
          <w:b/>
        </w:rPr>
      </w:pPr>
    </w:p>
    <w:p w:rsidR="0090754F" w:rsidRPr="0090754F" w:rsidRDefault="0090754F" w:rsidP="003F7157">
      <w:pPr>
        <w:rPr>
          <w:b/>
        </w:rPr>
      </w:pPr>
    </w:p>
    <w:p w:rsidR="0090754F" w:rsidRPr="0090754F" w:rsidRDefault="0090754F" w:rsidP="003F7157">
      <w:pPr>
        <w:rPr>
          <w:b/>
        </w:rPr>
      </w:pPr>
    </w:p>
    <w:p w:rsidR="0090754F" w:rsidRPr="0090754F" w:rsidRDefault="0090754F" w:rsidP="003F7157">
      <w:pPr>
        <w:rPr>
          <w:b/>
        </w:rPr>
      </w:pPr>
    </w:p>
    <w:p w:rsidR="003F7157" w:rsidRPr="0090754F" w:rsidRDefault="003F7157" w:rsidP="003F7157">
      <w:pPr>
        <w:rPr>
          <w:b/>
        </w:rPr>
      </w:pPr>
    </w:p>
    <w:p w:rsidR="003F7157" w:rsidRPr="0090754F" w:rsidRDefault="003F7157" w:rsidP="003F7157">
      <w:pPr>
        <w:rPr>
          <w:b/>
        </w:rPr>
      </w:pPr>
    </w:p>
    <w:p w:rsidR="0043107F" w:rsidRDefault="0043107F" w:rsidP="0043107F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p w:rsidR="003F7157" w:rsidRPr="0090754F" w:rsidRDefault="003F7157" w:rsidP="003F7157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90754F" w:rsidRPr="0090754F" w:rsidTr="003F7157">
        <w:tc>
          <w:tcPr>
            <w:tcW w:w="4784" w:type="dxa"/>
            <w:gridSpan w:val="2"/>
          </w:tcPr>
          <w:p w:rsidR="0090754F" w:rsidRPr="0090754F" w:rsidRDefault="0090754F" w:rsidP="0090754F">
            <w:pPr>
              <w:jc w:val="center"/>
              <w:rPr>
                <w:b/>
              </w:rPr>
            </w:pPr>
            <w:r w:rsidRPr="0090754F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90754F" w:rsidRPr="0090754F" w:rsidRDefault="0090754F" w:rsidP="0090754F">
            <w:pPr>
              <w:jc w:val="center"/>
              <w:rPr>
                <w:b/>
              </w:rPr>
            </w:pPr>
            <w:r w:rsidRPr="0090754F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90754F" w:rsidRPr="0090754F" w:rsidRDefault="000A7BF5" w:rsidP="0090754F">
            <w:pPr>
              <w:jc w:val="center"/>
              <w:rPr>
                <w:b/>
              </w:rPr>
            </w:pPr>
            <w:r>
              <w:rPr>
                <w:b/>
              </w:rPr>
              <w:t>Estrategias de mediación sugeridas</w:t>
            </w:r>
          </w:p>
        </w:tc>
      </w:tr>
      <w:tr w:rsidR="0090754F" w:rsidRPr="0090754F" w:rsidTr="003F7157">
        <w:tc>
          <w:tcPr>
            <w:tcW w:w="2263" w:type="dxa"/>
          </w:tcPr>
          <w:p w:rsidR="0090754F" w:rsidRPr="0090754F" w:rsidRDefault="0090754F" w:rsidP="0090754F">
            <w:pPr>
              <w:jc w:val="center"/>
              <w:rPr>
                <w:b/>
                <w:highlight w:val="yellow"/>
              </w:rPr>
            </w:pPr>
            <w:r w:rsidRPr="0090754F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90754F" w:rsidRPr="0090754F" w:rsidRDefault="0090754F" w:rsidP="0090754F">
            <w:pPr>
              <w:jc w:val="center"/>
              <w:rPr>
                <w:b/>
              </w:rPr>
            </w:pPr>
            <w:r w:rsidRPr="0090754F">
              <w:rPr>
                <w:b/>
              </w:rPr>
              <w:t>Componente del programa de estudio</w:t>
            </w:r>
          </w:p>
          <w:p w:rsidR="0090754F" w:rsidRPr="0090754F" w:rsidRDefault="0090754F" w:rsidP="0090754F">
            <w:pPr>
              <w:jc w:val="center"/>
              <w:rPr>
                <w:b/>
              </w:rPr>
            </w:pPr>
            <w:r w:rsidRPr="0090754F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90754F" w:rsidRPr="0090754F" w:rsidRDefault="0090754F" w:rsidP="0090754F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90754F" w:rsidRPr="0090754F" w:rsidRDefault="0090754F" w:rsidP="0090754F">
            <w:pPr>
              <w:jc w:val="center"/>
              <w:rPr>
                <w:b/>
              </w:rPr>
            </w:pPr>
          </w:p>
        </w:tc>
      </w:tr>
      <w:tr w:rsidR="003F7157" w:rsidRPr="0090754F" w:rsidTr="0090754F">
        <w:trPr>
          <w:trHeight w:val="1124"/>
        </w:trPr>
        <w:tc>
          <w:tcPr>
            <w:tcW w:w="2263" w:type="dxa"/>
            <w:vAlign w:val="center"/>
          </w:tcPr>
          <w:p w:rsidR="00F84C34" w:rsidRPr="0090754F" w:rsidRDefault="00F84C34" w:rsidP="00F84C3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90754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Planificación</w:t>
            </w:r>
          </w:p>
          <w:p w:rsidR="00F84C34" w:rsidRPr="0090754F" w:rsidRDefault="00F84C34" w:rsidP="00F84C34">
            <w:pPr>
              <w:jc w:val="both"/>
              <w:rPr>
                <w:rFonts w:cs="Arial"/>
                <w:color w:val="BF8F00" w:themeColor="accent4" w:themeShade="BF"/>
              </w:rPr>
            </w:pPr>
            <w:r w:rsidRPr="0090754F">
              <w:rPr>
                <w:rFonts w:cs="Arial"/>
                <w:color w:val="BF8F00" w:themeColor="accent4" w:themeShade="BF"/>
              </w:rPr>
              <w:t>(Planifica sus estrategias de aprendizaje desde el autoconocimiento y la naturaleza y contexto de las tareas por realizar).</w:t>
            </w:r>
          </w:p>
          <w:p w:rsidR="00F84C34" w:rsidRPr="0090754F" w:rsidRDefault="00F84C34" w:rsidP="00F84C3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F84C34" w:rsidRPr="0090754F" w:rsidRDefault="00F84C34" w:rsidP="00F84C3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0754F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:rsidR="00F84C34" w:rsidRPr="0090754F" w:rsidRDefault="00F84C34" w:rsidP="00F84C34">
            <w:pPr>
              <w:jc w:val="both"/>
              <w:rPr>
                <w:rFonts w:cs="Arial"/>
                <w:color w:val="BF8F00" w:themeColor="accent4" w:themeShade="BF"/>
              </w:rPr>
            </w:pPr>
            <w:r w:rsidRPr="0090754F">
              <w:rPr>
                <w:rFonts w:cs="Arial"/>
                <w:color w:val="BF8F00" w:themeColor="accent4" w:themeShade="BF"/>
              </w:rPr>
              <w:t>(Desarrolla autonomía en las tareas que debe realizar para alcanzar los propósitos que se ha propuesto).</w:t>
            </w:r>
          </w:p>
          <w:p w:rsidR="00F84C34" w:rsidRPr="0090754F" w:rsidRDefault="00F84C34" w:rsidP="00F84C3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90754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Evaluación</w:t>
            </w:r>
          </w:p>
          <w:p w:rsidR="003F7157" w:rsidRPr="0090754F" w:rsidRDefault="00F84C34" w:rsidP="00F84C34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90754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3F7157" w:rsidRPr="0090754F" w:rsidRDefault="003F7157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6.1 Experimentación de lectura</w:t>
            </w:r>
            <w:r w:rsidR="00F84C34" w:rsidRPr="0090754F">
              <w:rPr>
                <w:rFonts w:cs="Arial"/>
              </w:rPr>
              <w:t xml:space="preserve"> </w:t>
            </w:r>
            <w:r w:rsidRPr="0090754F">
              <w:rPr>
                <w:rFonts w:cs="Arial"/>
              </w:rPr>
              <w:t>al decodificar enunciados (palabras, frases y oraciones).</w:t>
            </w: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(Decodificación de las letras y enunciados por medio de ejercicios orales y de lectura aproximada y de experimentación.</w:t>
            </w: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Como:</w:t>
            </w: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•Lectura oral dirigida.</w:t>
            </w: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•Decodificación de enunciados (palabras, frases y oraciones).</w:t>
            </w: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 xml:space="preserve">• </w:t>
            </w:r>
            <w:r w:rsidR="00E8580B" w:rsidRPr="0090754F">
              <w:rPr>
                <w:rFonts w:cs="Arial"/>
              </w:rPr>
              <w:t>Seudoletras</w:t>
            </w:r>
            <w:r w:rsidRPr="0090754F">
              <w:rPr>
                <w:rFonts w:cs="Arial"/>
              </w:rPr>
              <w:t xml:space="preserve"> (garabatos).</w:t>
            </w: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•Combinar sílabas y palabras para crear nuevas palabras, frases y oraciones.</w:t>
            </w: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•Fonemas y grafías iguales.</w:t>
            </w: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lastRenderedPageBreak/>
              <w:t>•Fonemas y</w:t>
            </w:r>
            <w:r w:rsidRPr="0090754F">
              <w:rPr>
                <w:rFonts w:cs="MyriadPro-Regular"/>
              </w:rPr>
              <w:t xml:space="preserve"> </w:t>
            </w:r>
            <w:r w:rsidRPr="0090754F">
              <w:rPr>
                <w:rFonts w:cs="Arial"/>
              </w:rPr>
              <w:t>estructura de grafemas.</w:t>
            </w:r>
          </w:p>
          <w:p w:rsidR="00F84C34" w:rsidRPr="0090754F" w:rsidRDefault="00F84C34" w:rsidP="00F84C34">
            <w:pPr>
              <w:jc w:val="both"/>
              <w:rPr>
                <w:rFonts w:cs="Arial"/>
              </w:rPr>
            </w:pPr>
            <w:r w:rsidRPr="0090754F">
              <w:rPr>
                <w:rFonts w:cs="Arial"/>
              </w:rPr>
              <w:t>•Formación de palabras a partir de fonemas y sus grafemas.</w:t>
            </w:r>
          </w:p>
        </w:tc>
        <w:tc>
          <w:tcPr>
            <w:tcW w:w="0" w:type="auto"/>
          </w:tcPr>
          <w:p w:rsidR="00F84C34" w:rsidRPr="0090754F" w:rsidRDefault="00F84C34" w:rsidP="00C457F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0754F">
              <w:rPr>
                <w:rFonts w:cs="Arial"/>
                <w:color w:val="BF8F00" w:themeColor="accent4" w:themeShade="BF"/>
              </w:rPr>
              <w:lastRenderedPageBreak/>
              <w:t xml:space="preserve">Sigue indicaciones básicas para </w:t>
            </w:r>
            <w:r w:rsidR="00C457F7" w:rsidRPr="0090754F">
              <w:rPr>
                <w:rFonts w:cs="Arial"/>
                <w:color w:val="BF8F00" w:themeColor="accent4" w:themeShade="BF"/>
              </w:rPr>
              <w:t xml:space="preserve">realizar la decodificación de palabras, frases y oraciones. </w:t>
            </w:r>
          </w:p>
          <w:p w:rsidR="00F84C34" w:rsidRPr="0090754F" w:rsidRDefault="00F84C34" w:rsidP="00C457F7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C457F7" w:rsidRPr="0090754F" w:rsidRDefault="00C457F7" w:rsidP="00C457F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90754F">
              <w:rPr>
                <w:rFonts w:cs="Arial"/>
                <w:color w:val="BF8F00" w:themeColor="accent4" w:themeShade="BF"/>
              </w:rPr>
              <w:t>Formula alternativas para realizar la decodificación y trazo de: palabras, frases y oraciones.</w:t>
            </w:r>
          </w:p>
          <w:p w:rsidR="00C457F7" w:rsidRPr="0090754F" w:rsidRDefault="00C457F7" w:rsidP="00C457F7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3F7157" w:rsidRPr="0090754F" w:rsidRDefault="00C457F7" w:rsidP="00C457F7">
            <w:pPr>
              <w:jc w:val="center"/>
            </w:pPr>
            <w:r w:rsidRPr="0090754F">
              <w:rPr>
                <w:rFonts w:cs="Arial"/>
                <w:color w:val="BF8F00" w:themeColor="accent4" w:themeShade="BF"/>
              </w:rPr>
              <w:t xml:space="preserve">Demuestra la comprensión de lectura de: palabras, frases y oraciones. </w:t>
            </w:r>
          </w:p>
        </w:tc>
        <w:tc>
          <w:tcPr>
            <w:tcW w:w="6890" w:type="dxa"/>
          </w:tcPr>
          <w:p w:rsidR="003F7157" w:rsidRPr="0090754F" w:rsidRDefault="003F7157" w:rsidP="003F7157">
            <w:pPr>
              <w:jc w:val="both"/>
              <w:rPr>
                <w:rFonts w:cs="Arial"/>
              </w:rPr>
            </w:pPr>
          </w:p>
        </w:tc>
      </w:tr>
    </w:tbl>
    <w:p w:rsidR="003F7157" w:rsidRPr="0090754F" w:rsidRDefault="003F7157" w:rsidP="003F7157">
      <w:pPr>
        <w:spacing w:after="0"/>
        <w:rPr>
          <w:rFonts w:cs="Arial"/>
        </w:rPr>
      </w:pPr>
    </w:p>
    <w:p w:rsidR="00C457F7" w:rsidRPr="0090754F" w:rsidRDefault="00C457F7" w:rsidP="003F7157">
      <w:pPr>
        <w:spacing w:after="0"/>
        <w:jc w:val="center"/>
        <w:rPr>
          <w:b/>
        </w:rPr>
      </w:pPr>
    </w:p>
    <w:p w:rsidR="0043107F" w:rsidRPr="003053CA" w:rsidRDefault="0043107F" w:rsidP="0043107F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C457F7" w:rsidRPr="0090754F" w:rsidRDefault="00C457F7" w:rsidP="003F7157">
      <w:pPr>
        <w:spacing w:after="0"/>
        <w:jc w:val="center"/>
        <w:rPr>
          <w:b/>
        </w:rPr>
      </w:pPr>
    </w:p>
    <w:p w:rsidR="003F7157" w:rsidRPr="0090754F" w:rsidRDefault="003F7157" w:rsidP="003F7157">
      <w:pPr>
        <w:spacing w:after="0"/>
        <w:jc w:val="center"/>
        <w:rPr>
          <w:b/>
        </w:rPr>
      </w:pPr>
      <w:r w:rsidRPr="0090754F">
        <w:rPr>
          <w:b/>
        </w:rPr>
        <w:t>Instrumento de proceso</w:t>
      </w:r>
    </w:p>
    <w:p w:rsidR="003F7157" w:rsidRPr="0090754F" w:rsidRDefault="003F7157" w:rsidP="003F7157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660"/>
        <w:gridCol w:w="3543"/>
        <w:gridCol w:w="2308"/>
        <w:gridCol w:w="2197"/>
        <w:gridCol w:w="2512"/>
      </w:tblGrid>
      <w:tr w:rsidR="000A3F45" w:rsidRPr="0090754F" w:rsidTr="0094062F">
        <w:tc>
          <w:tcPr>
            <w:tcW w:w="1006" w:type="pct"/>
          </w:tcPr>
          <w:p w:rsidR="000A3F45" w:rsidRPr="0090754F" w:rsidRDefault="000A3F45" w:rsidP="003F7157">
            <w:pPr>
              <w:jc w:val="center"/>
              <w:rPr>
                <w:b/>
              </w:rPr>
            </w:pPr>
            <w:r>
              <w:rPr>
                <w:b/>
              </w:rPr>
              <w:t>Indicador  (p</w:t>
            </w:r>
            <w:r w:rsidRPr="0090754F">
              <w:rPr>
                <w:b/>
              </w:rPr>
              <w:t>autas para el desarrollo de la habilidad)</w:t>
            </w:r>
          </w:p>
        </w:tc>
        <w:tc>
          <w:tcPr>
            <w:tcW w:w="1340" w:type="pct"/>
          </w:tcPr>
          <w:p w:rsidR="000A3F45" w:rsidRPr="0090754F" w:rsidRDefault="000A3F45" w:rsidP="003F7157">
            <w:pPr>
              <w:jc w:val="center"/>
              <w:rPr>
                <w:b/>
              </w:rPr>
            </w:pPr>
            <w:r w:rsidRPr="0090754F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0A3F45" w:rsidRPr="0090754F" w:rsidRDefault="000A3F45" w:rsidP="003F7157">
            <w:pPr>
              <w:jc w:val="center"/>
              <w:rPr>
                <w:b/>
              </w:rPr>
            </w:pPr>
            <w:r w:rsidRPr="0090754F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0A3F45" w:rsidRPr="0090754F" w:rsidRDefault="000A3F45" w:rsidP="003F7157">
            <w:pPr>
              <w:jc w:val="center"/>
              <w:rPr>
                <w:b/>
              </w:rPr>
            </w:pPr>
            <w:r w:rsidRPr="0090754F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0A3F45" w:rsidRPr="0090754F" w:rsidRDefault="000A3F45" w:rsidP="003F7157">
            <w:pPr>
              <w:jc w:val="center"/>
              <w:rPr>
                <w:b/>
              </w:rPr>
            </w:pPr>
            <w:r w:rsidRPr="0090754F">
              <w:rPr>
                <w:b/>
              </w:rPr>
              <w:t>Avanzado</w:t>
            </w:r>
          </w:p>
        </w:tc>
      </w:tr>
      <w:tr w:rsidR="00D772AA" w:rsidRPr="0090754F" w:rsidTr="0094062F">
        <w:trPr>
          <w:trHeight w:val="526"/>
        </w:trPr>
        <w:tc>
          <w:tcPr>
            <w:tcW w:w="1006" w:type="pct"/>
          </w:tcPr>
          <w:p w:rsidR="00D772AA" w:rsidRPr="000A3F45" w:rsidRDefault="00D772AA" w:rsidP="00D772A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A3F45">
              <w:rPr>
                <w:rFonts w:cs="Arial"/>
                <w:b/>
                <w:color w:val="BF8F00" w:themeColor="accent4" w:themeShade="BF"/>
              </w:rPr>
              <w:t>Planificación</w:t>
            </w:r>
          </w:p>
        </w:tc>
        <w:tc>
          <w:tcPr>
            <w:tcW w:w="1340" w:type="pct"/>
          </w:tcPr>
          <w:p w:rsidR="00D772AA" w:rsidRDefault="00D772AA" w:rsidP="00D772AA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Sigue indicaciones básicas para realizar la decodificación de palabras, frases y oraciones.</w:t>
            </w:r>
          </w:p>
          <w:p w:rsidR="00D772AA" w:rsidRDefault="00D772AA" w:rsidP="00D772AA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D772AA" w:rsidRDefault="00D772AA" w:rsidP="00D772A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Indica aspectos básicos para realizar la decodificación de una palabra.</w:t>
            </w:r>
          </w:p>
        </w:tc>
        <w:tc>
          <w:tcPr>
            <w:tcW w:w="831" w:type="pct"/>
          </w:tcPr>
          <w:p w:rsidR="00D772AA" w:rsidRDefault="00D772AA" w:rsidP="00D772A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Alude, de forma general, a la decodificación de frases.</w:t>
            </w:r>
          </w:p>
        </w:tc>
        <w:tc>
          <w:tcPr>
            <w:tcW w:w="950" w:type="pct"/>
          </w:tcPr>
          <w:p w:rsidR="00D772AA" w:rsidRDefault="00D772AA" w:rsidP="00D772A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Efectúa la decodificación de frases y oraciones.</w:t>
            </w:r>
          </w:p>
        </w:tc>
      </w:tr>
      <w:tr w:rsidR="00D772AA" w:rsidRPr="0090754F" w:rsidTr="0094062F">
        <w:trPr>
          <w:trHeight w:val="590"/>
        </w:trPr>
        <w:tc>
          <w:tcPr>
            <w:tcW w:w="1006" w:type="pct"/>
          </w:tcPr>
          <w:p w:rsidR="00D772AA" w:rsidRPr="000A3F45" w:rsidRDefault="00D772AA" w:rsidP="00D772A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A3F45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</w:tc>
        <w:tc>
          <w:tcPr>
            <w:tcW w:w="1340" w:type="pct"/>
          </w:tcPr>
          <w:p w:rsidR="00D772AA" w:rsidRDefault="00D772AA" w:rsidP="00D772AA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alternativas para realizar la decodificación y trazo de: palabras, frases y oraciones.</w:t>
            </w:r>
          </w:p>
          <w:p w:rsidR="00D772AA" w:rsidRDefault="00D772AA" w:rsidP="00D772AA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D772AA" w:rsidRDefault="00D772AA" w:rsidP="00D772A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opciones propias para realizar la decodificación y trazo de palabras (dibujos y disfraces del sonido, </w:t>
            </w:r>
            <w:proofErr w:type="spellStart"/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seudoletras</w:t>
            </w:r>
            <w:proofErr w:type="spellEnd"/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, sonidos).</w:t>
            </w:r>
          </w:p>
        </w:tc>
        <w:tc>
          <w:tcPr>
            <w:tcW w:w="831" w:type="pct"/>
          </w:tcPr>
          <w:p w:rsidR="00D772AA" w:rsidRDefault="00D772AA" w:rsidP="00D772A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fonemas con grafemas en los procesos de decodificación de palabras y frases.</w:t>
            </w:r>
          </w:p>
        </w:tc>
        <w:tc>
          <w:tcPr>
            <w:tcW w:w="950" w:type="pct"/>
          </w:tcPr>
          <w:p w:rsidR="00D772AA" w:rsidRDefault="00D772AA" w:rsidP="00D772A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 grafías con fonemas en los procesos de decodificación de palabras, frases y oraciones.</w:t>
            </w:r>
          </w:p>
        </w:tc>
      </w:tr>
      <w:tr w:rsidR="00D772AA" w:rsidRPr="0090754F" w:rsidTr="0094062F">
        <w:trPr>
          <w:trHeight w:val="901"/>
        </w:trPr>
        <w:tc>
          <w:tcPr>
            <w:tcW w:w="1006" w:type="pct"/>
          </w:tcPr>
          <w:p w:rsidR="00D772AA" w:rsidRPr="000A3F45" w:rsidRDefault="00D772AA" w:rsidP="00D772A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A3F45">
              <w:rPr>
                <w:rFonts w:cs="Arial"/>
                <w:b/>
                <w:color w:val="BF8F00" w:themeColor="accent4" w:themeShade="BF"/>
              </w:rPr>
              <w:t>Evaluación</w:t>
            </w:r>
          </w:p>
        </w:tc>
        <w:tc>
          <w:tcPr>
            <w:tcW w:w="1340" w:type="pct"/>
          </w:tcPr>
          <w:p w:rsidR="00D772AA" w:rsidRDefault="00D772AA" w:rsidP="00D772AA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Demuestra la comprensión de lectura de: palabras, frases y oraciones.</w:t>
            </w:r>
          </w:p>
        </w:tc>
        <w:tc>
          <w:tcPr>
            <w:tcW w:w="873" w:type="pct"/>
          </w:tcPr>
          <w:p w:rsidR="00D772AA" w:rsidRDefault="00D772AA" w:rsidP="00D772AA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ideas generales de la lectura de palabras, frases y oraciones leídas.</w:t>
            </w:r>
          </w:p>
        </w:tc>
        <w:tc>
          <w:tcPr>
            <w:tcW w:w="831" w:type="pct"/>
            <w:vAlign w:val="center"/>
          </w:tcPr>
          <w:p w:rsidR="00D772AA" w:rsidRDefault="00D772AA" w:rsidP="00D772A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datos simples de comprensión, a partir de la lectura de palabras, frases y oraciones.</w:t>
            </w:r>
          </w:p>
        </w:tc>
        <w:tc>
          <w:tcPr>
            <w:tcW w:w="950" w:type="pct"/>
            <w:vAlign w:val="center"/>
          </w:tcPr>
          <w:p w:rsidR="00D772AA" w:rsidRDefault="00D772AA" w:rsidP="00D772A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Específica datos puntuales de comprensión, a partir de la lectura de palabras, frases y oraciones.</w:t>
            </w:r>
          </w:p>
        </w:tc>
      </w:tr>
    </w:tbl>
    <w:p w:rsidR="003F7157" w:rsidRPr="0090754F" w:rsidRDefault="003F7157" w:rsidP="003F7157">
      <w:pPr>
        <w:jc w:val="center"/>
        <w:rPr>
          <w:b/>
        </w:rPr>
      </w:pPr>
    </w:p>
    <w:p w:rsidR="003F7157" w:rsidRPr="0090754F" w:rsidRDefault="003F7157" w:rsidP="003F7157">
      <w:pPr>
        <w:jc w:val="center"/>
        <w:rPr>
          <w:b/>
        </w:rPr>
      </w:pPr>
    </w:p>
    <w:p w:rsidR="00FF4FAE" w:rsidRDefault="00FF4FAE" w:rsidP="00FF4FA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FF4FAE" w:rsidRDefault="00FF4FAE" w:rsidP="00FF4FA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F4FAE" w:rsidRDefault="00FF4FAE" w:rsidP="00FF4FA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FF4FAE" w:rsidRDefault="00FF4FAE" w:rsidP="00FF4FA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F4FAE" w:rsidRDefault="00FF4FAE" w:rsidP="00FF4FA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FF4FAE" w:rsidRDefault="00FF4FAE" w:rsidP="00FF4FA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FF4FAE" w:rsidRDefault="00FF4FAE" w:rsidP="00FF4FA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F4FAE" w:rsidRDefault="00FF4FAE" w:rsidP="00FF4FAE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FF4FAE" w:rsidRDefault="00FF4FAE" w:rsidP="00FF4FAE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FF4FAE" w:rsidRDefault="00FF4FAE" w:rsidP="00FF4FA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FF4FAE" w:rsidRDefault="00FF4FAE" w:rsidP="00FF4FA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Asesor nacional de Español</w:t>
      </w:r>
    </w:p>
    <w:p w:rsidR="00FF4FAE" w:rsidRDefault="00FF4FAE" w:rsidP="00FF4FAE">
      <w:pPr>
        <w:pStyle w:val="Sinespaciado"/>
        <w:rPr>
          <w:rFonts w:ascii="Cambria" w:eastAsia="Calibri" w:hAnsi="Cambria" w:cs="Arial"/>
          <w:lang w:eastAsia="en-US"/>
        </w:rPr>
      </w:pPr>
    </w:p>
    <w:p w:rsidR="00FF4FAE" w:rsidRDefault="00FF4FAE" w:rsidP="00FF4FA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FF4FAE" w:rsidRDefault="00FF4FAE" w:rsidP="00FF4FA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FF4FAE" w:rsidRDefault="00FF4FAE" w:rsidP="00FF4FAE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Español.</w:t>
      </w:r>
    </w:p>
    <w:p w:rsidR="00FF4FAE" w:rsidRDefault="00FF4FAE" w:rsidP="00FF4FAE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Español. </w:t>
      </w:r>
    </w:p>
    <w:p w:rsidR="00FF4FAE" w:rsidRDefault="00FF4FAE" w:rsidP="00FF4FAE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FF4FAE" w:rsidRDefault="00FF4FAE" w:rsidP="00FF4FAE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FF4FAE" w:rsidRDefault="00FF4FAE" w:rsidP="00FF4FA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FF4FAE" w:rsidRDefault="00FF4FAE" w:rsidP="00FF4FAE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FF4FAE" w:rsidRDefault="00FF4FAE" w:rsidP="00FF4FAE">
      <w:pPr>
        <w:rPr>
          <w:rFonts w:ascii="Calibri" w:eastAsia="Calibri" w:hAnsi="Calibri" w:cs="Times New Roman"/>
        </w:rPr>
      </w:pPr>
      <w:r>
        <w:t xml:space="preserve"> </w:t>
      </w:r>
    </w:p>
    <w:p w:rsidR="00FF4FAE" w:rsidRDefault="00FF4FAE" w:rsidP="00FF4FAE">
      <w:pPr>
        <w:rPr>
          <w:b/>
        </w:rPr>
      </w:pPr>
      <w:r>
        <w:rPr>
          <w:b/>
        </w:rPr>
        <w:t>Docentes:</w:t>
      </w:r>
    </w:p>
    <w:p w:rsidR="00FF4FAE" w:rsidRDefault="00FF4FAE" w:rsidP="00FF4FAE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FF4FAE" w:rsidRDefault="00FF4FAE" w:rsidP="00FF4FAE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FF4FAE" w:rsidRDefault="00FF4FAE" w:rsidP="00FF4FAE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FF4FAE" w:rsidRDefault="00FF4FAE" w:rsidP="00FF4FAE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FF4FAE" w:rsidRDefault="00FF4FAE" w:rsidP="00FF4FAE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FF4FAE" w:rsidRDefault="00FF4FAE" w:rsidP="00FF4FAE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FF4FAE" w:rsidRDefault="00FF4FAE" w:rsidP="00FF4FAE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3F7157" w:rsidRPr="0090754F" w:rsidRDefault="003F7157" w:rsidP="003F7157">
      <w:pPr>
        <w:jc w:val="center"/>
        <w:rPr>
          <w:b/>
        </w:rPr>
      </w:pPr>
      <w:bookmarkStart w:id="0" w:name="_GoBack"/>
      <w:bookmarkEnd w:id="0"/>
    </w:p>
    <w:p w:rsidR="003F7157" w:rsidRPr="0090754F" w:rsidRDefault="003F7157" w:rsidP="003F7157">
      <w:pPr>
        <w:jc w:val="center"/>
        <w:rPr>
          <w:b/>
        </w:rPr>
      </w:pPr>
    </w:p>
    <w:p w:rsidR="003F7157" w:rsidRPr="0090754F" w:rsidRDefault="003F7157" w:rsidP="009D2CAF">
      <w:pPr>
        <w:rPr>
          <w:b/>
        </w:rPr>
      </w:pPr>
    </w:p>
    <w:sectPr w:rsidR="003F7157" w:rsidRPr="0090754F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7A" w:rsidRDefault="0055297A" w:rsidP="00140D69">
      <w:pPr>
        <w:spacing w:after="0" w:line="240" w:lineRule="auto"/>
      </w:pPr>
      <w:r>
        <w:separator/>
      </w:r>
    </w:p>
  </w:endnote>
  <w:endnote w:type="continuationSeparator" w:id="0">
    <w:p w:rsidR="0055297A" w:rsidRDefault="0055297A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C5" w:rsidRDefault="009527C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C5" w:rsidRDefault="009527C5" w:rsidP="009527C5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9527C5" w:rsidRDefault="009527C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C5" w:rsidRDefault="009527C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7A" w:rsidRDefault="0055297A" w:rsidP="00140D69">
      <w:pPr>
        <w:spacing w:after="0" w:line="240" w:lineRule="auto"/>
      </w:pPr>
      <w:r>
        <w:separator/>
      </w:r>
    </w:p>
  </w:footnote>
  <w:footnote w:type="continuationSeparator" w:id="0">
    <w:p w:rsidR="0055297A" w:rsidRDefault="0055297A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C5" w:rsidRDefault="009527C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C5" w:rsidRDefault="009527C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7C5" w:rsidRDefault="009527C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3F45"/>
    <w:rsid w:val="000A6BAC"/>
    <w:rsid w:val="000A7BF5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5E4C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107F"/>
    <w:rsid w:val="004333FA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5297A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A5778"/>
    <w:rsid w:val="007B6AC3"/>
    <w:rsid w:val="007C5DED"/>
    <w:rsid w:val="007D0343"/>
    <w:rsid w:val="007E30DA"/>
    <w:rsid w:val="007F26D8"/>
    <w:rsid w:val="00801CB7"/>
    <w:rsid w:val="00810A3A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0754F"/>
    <w:rsid w:val="0091425F"/>
    <w:rsid w:val="0094062F"/>
    <w:rsid w:val="00945D5E"/>
    <w:rsid w:val="0095167C"/>
    <w:rsid w:val="009527C5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C6A5B"/>
    <w:rsid w:val="009D2CAF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A2BDA"/>
    <w:rsid w:val="00AD048B"/>
    <w:rsid w:val="00AD1B57"/>
    <w:rsid w:val="00AD7A51"/>
    <w:rsid w:val="00AD7FF8"/>
    <w:rsid w:val="00B06904"/>
    <w:rsid w:val="00B2297C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6F9B"/>
    <w:rsid w:val="00C22F48"/>
    <w:rsid w:val="00C40B6B"/>
    <w:rsid w:val="00C42102"/>
    <w:rsid w:val="00C457F7"/>
    <w:rsid w:val="00C52F52"/>
    <w:rsid w:val="00C56724"/>
    <w:rsid w:val="00C673A4"/>
    <w:rsid w:val="00C732C0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772AA"/>
    <w:rsid w:val="00D85E49"/>
    <w:rsid w:val="00D97929"/>
    <w:rsid w:val="00DA628B"/>
    <w:rsid w:val="00DB16C0"/>
    <w:rsid w:val="00DB48B0"/>
    <w:rsid w:val="00DF3936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4498"/>
    <w:rsid w:val="00E8580B"/>
    <w:rsid w:val="00EA065F"/>
    <w:rsid w:val="00EA0F40"/>
    <w:rsid w:val="00EB5EE2"/>
    <w:rsid w:val="00EE33B0"/>
    <w:rsid w:val="00EE35B1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2261"/>
    <w:rsid w:val="00F774A8"/>
    <w:rsid w:val="00F84C34"/>
    <w:rsid w:val="00F84E9C"/>
    <w:rsid w:val="00F865C2"/>
    <w:rsid w:val="00F86EF6"/>
    <w:rsid w:val="00F956EA"/>
    <w:rsid w:val="00FA0C70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FF4FAE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A4360-A3F2-4B72-98F4-15F574B1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6</Pages>
  <Words>1243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298</cp:revision>
  <dcterms:created xsi:type="dcterms:W3CDTF">2019-02-28T19:25:00Z</dcterms:created>
  <dcterms:modified xsi:type="dcterms:W3CDTF">2019-12-02T16:13:00Z</dcterms:modified>
</cp:coreProperties>
</file>