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CC9" w:rsidRDefault="002C5CC9" w:rsidP="002C5CC9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2C5CC9" w:rsidRDefault="002C5CC9" w:rsidP="002C5CC9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2C5CC9" w:rsidRDefault="002C5CC9" w:rsidP="002C5CC9">
      <w:pPr>
        <w:spacing w:after="0" w:line="240" w:lineRule="auto"/>
        <w:jc w:val="center"/>
      </w:pP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C5CC9" w:rsidRDefault="002C5CC9" w:rsidP="002C5CC9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5A36F7" w:rsidRDefault="00CE6FDB" w:rsidP="00CE6FDB">
      <w:pPr>
        <w:jc w:val="center"/>
        <w:rPr>
          <w:b/>
        </w:rPr>
      </w:pPr>
      <w:r>
        <w:rPr>
          <w:b/>
        </w:rPr>
        <w:lastRenderedPageBreak/>
        <w:t>Plantilla de planeamiento didáctico de Español</w:t>
      </w:r>
    </w:p>
    <w:p w:rsidR="005A36F7" w:rsidRDefault="005A36F7" w:rsidP="005A36F7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CE6FDB" w:rsidRPr="00711096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CE6FDB" w:rsidP="00674D0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>Dirección Regional de Educación</w:t>
            </w:r>
            <w:r w:rsidRPr="007110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CE6FDB" w:rsidP="00674D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 xml:space="preserve">Centro educativo: </w:t>
            </w:r>
          </w:p>
        </w:tc>
      </w:tr>
      <w:tr w:rsidR="00CE6FDB" w:rsidRPr="00711096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CE6FDB" w:rsidP="00674D0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>Nombre y apellidos del</w:t>
            </w:r>
            <w:r w:rsidR="008C176E" w:rsidRPr="00711096">
              <w:rPr>
                <w:rFonts w:ascii="Arial" w:hAnsi="Arial" w:cs="Arial"/>
                <w:b/>
                <w:sz w:val="20"/>
                <w:szCs w:val="20"/>
              </w:rPr>
              <w:t xml:space="preserve"> docente</w:t>
            </w:r>
            <w:r w:rsidRPr="00711096">
              <w:rPr>
                <w:rFonts w:ascii="Arial" w:hAnsi="Arial" w:cs="Arial"/>
                <w:b/>
                <w:sz w:val="20"/>
                <w:szCs w:val="20"/>
              </w:rPr>
              <w:t xml:space="preserve"> o la docente</w:t>
            </w:r>
            <w:r w:rsidRPr="0071109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CE6FDB" w:rsidP="00674D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 xml:space="preserve">Asignatura: </w:t>
            </w:r>
            <w:r w:rsidR="00711096">
              <w:rPr>
                <w:rFonts w:ascii="Arial" w:hAnsi="Arial" w:cs="Arial"/>
                <w:b/>
                <w:sz w:val="20"/>
                <w:szCs w:val="20"/>
              </w:rPr>
              <w:t>Español</w:t>
            </w:r>
          </w:p>
        </w:tc>
      </w:tr>
      <w:tr w:rsidR="00CE6FDB" w:rsidRPr="00D41A9E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CE6FDB" w:rsidP="00674D0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711096" w:rsidRDefault="008C176E" w:rsidP="00674D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>Periodo l</w:t>
            </w:r>
            <w:r w:rsidR="00CE6FDB" w:rsidRPr="00711096">
              <w:rPr>
                <w:rFonts w:ascii="Arial" w:hAnsi="Arial" w:cs="Arial"/>
                <w:b/>
                <w:sz w:val="20"/>
                <w:szCs w:val="20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E6FDB" w:rsidRPr="00D41A9E" w:rsidRDefault="00CE6FDB" w:rsidP="00674D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11096">
              <w:rPr>
                <w:rFonts w:ascii="Arial" w:hAnsi="Arial" w:cs="Arial"/>
                <w:b/>
                <w:sz w:val="20"/>
                <w:szCs w:val="20"/>
              </w:rPr>
              <w:t>Mes:</w:t>
            </w:r>
            <w:r w:rsidRPr="00D41A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CE6FDB" w:rsidRDefault="00CE6FDB" w:rsidP="00CE6FDB">
      <w:pPr>
        <w:spacing w:after="0"/>
        <w:rPr>
          <w:b/>
        </w:rPr>
      </w:pPr>
    </w:p>
    <w:p w:rsidR="005A36F7" w:rsidRPr="003053CA" w:rsidRDefault="005A36F7" w:rsidP="005A36F7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5A36F7" w:rsidRPr="003053CA" w:rsidRDefault="005A36F7" w:rsidP="005A36F7">
      <w:pPr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7"/>
        <w:gridCol w:w="10063"/>
      </w:tblGrid>
      <w:tr w:rsidR="0052630A" w:rsidRPr="0052630A" w:rsidTr="0052630A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2630A" w:rsidRPr="0052630A" w:rsidRDefault="0052630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2630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2630A" w:rsidRPr="0052630A" w:rsidRDefault="0052630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52630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</w:tr>
      <w:tr w:rsidR="0052630A" w:rsidRPr="0052630A" w:rsidTr="0052630A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2630A" w:rsidRPr="0052630A" w:rsidRDefault="0052630A" w:rsidP="0052630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52630A" w:rsidRPr="0052630A" w:rsidRDefault="0052630A" w:rsidP="0052630A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2630A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52630A" w:rsidRPr="0052630A" w:rsidRDefault="0052630A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</w:tcPr>
          <w:p w:rsidR="0052630A" w:rsidRPr="0052630A" w:rsidRDefault="0052630A" w:rsidP="0052630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52630A" w:rsidRPr="0052630A" w:rsidRDefault="0052630A" w:rsidP="0052630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52630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52630A" w:rsidRPr="0052630A" w:rsidRDefault="0052630A" w:rsidP="0052630A">
            <w:pPr>
              <w:jc w:val="both"/>
              <w:rPr>
                <w:rFonts w:cs="Arial"/>
              </w:rPr>
            </w:pPr>
          </w:p>
        </w:tc>
      </w:tr>
      <w:tr w:rsidR="0052630A" w:rsidRPr="0052630A" w:rsidTr="0052630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2630A" w:rsidRPr="0052630A" w:rsidRDefault="0052630A">
            <w:pPr>
              <w:rPr>
                <w:rFonts w:cs="Arial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</w:tcPr>
          <w:p w:rsidR="0052630A" w:rsidRPr="0052630A" w:rsidRDefault="0052630A" w:rsidP="0052630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52630A" w:rsidRPr="0052630A" w:rsidRDefault="0052630A" w:rsidP="0052630A">
            <w:pPr>
              <w:jc w:val="both"/>
              <w:rPr>
                <w:rFonts w:cs="Arial"/>
              </w:rPr>
            </w:pPr>
            <w:r w:rsidRPr="0052630A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52630A" w:rsidRPr="0052630A" w:rsidRDefault="0052630A">
            <w:pPr>
              <w:jc w:val="both"/>
              <w:rPr>
                <w:rFonts w:cs="Arial"/>
              </w:rPr>
            </w:pPr>
          </w:p>
        </w:tc>
      </w:tr>
      <w:tr w:rsidR="0052630A" w:rsidRPr="0052630A" w:rsidTr="0052630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52630A" w:rsidRPr="0052630A" w:rsidRDefault="0052630A">
            <w:pPr>
              <w:rPr>
                <w:rFonts w:cs="Arial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</w:tcPr>
          <w:p w:rsidR="0052630A" w:rsidRPr="0052630A" w:rsidRDefault="0052630A" w:rsidP="0052630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52630A" w:rsidRPr="0052630A" w:rsidRDefault="0052630A" w:rsidP="0052630A">
            <w:pPr>
              <w:jc w:val="center"/>
            </w:pPr>
            <w:r w:rsidRPr="0052630A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52630A" w:rsidRDefault="0052630A" w:rsidP="00CE6FDB">
      <w:pPr>
        <w:spacing w:after="0"/>
        <w:rPr>
          <w:b/>
        </w:rPr>
      </w:pPr>
    </w:p>
    <w:p w:rsidR="0052630A" w:rsidRDefault="0052630A" w:rsidP="00CE6FDB">
      <w:pPr>
        <w:spacing w:after="0"/>
        <w:rPr>
          <w:b/>
        </w:rPr>
      </w:pPr>
    </w:p>
    <w:p w:rsidR="0052630A" w:rsidRDefault="0052630A" w:rsidP="00CE6FDB">
      <w:pPr>
        <w:spacing w:after="0"/>
        <w:rPr>
          <w:b/>
        </w:rPr>
      </w:pPr>
    </w:p>
    <w:p w:rsidR="0052630A" w:rsidRDefault="0052630A" w:rsidP="00CE6FDB">
      <w:pPr>
        <w:spacing w:after="0"/>
        <w:rPr>
          <w:b/>
        </w:rPr>
      </w:pPr>
    </w:p>
    <w:p w:rsidR="00CE6FDB" w:rsidRDefault="00CE6FDB" w:rsidP="00CE6FDB">
      <w:pPr>
        <w:rPr>
          <w:b/>
        </w:rPr>
      </w:pPr>
    </w:p>
    <w:p w:rsidR="00CE6FDB" w:rsidRDefault="00CE6FDB" w:rsidP="00CE6FDB">
      <w:pPr>
        <w:rPr>
          <w:b/>
        </w:rPr>
      </w:pPr>
    </w:p>
    <w:p w:rsidR="00CE6FDB" w:rsidRDefault="00CE6FDB" w:rsidP="00CE6FDB">
      <w:pPr>
        <w:rPr>
          <w:b/>
        </w:rPr>
      </w:pPr>
    </w:p>
    <w:p w:rsidR="00CE6FDB" w:rsidRDefault="00CE6FDB" w:rsidP="00CE6FDB">
      <w:pPr>
        <w:rPr>
          <w:b/>
        </w:rPr>
      </w:pPr>
    </w:p>
    <w:p w:rsidR="005A36F7" w:rsidRDefault="005A36F7" w:rsidP="005A36F7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D6094" w:rsidRPr="0052630A" w:rsidTr="00674D0D">
        <w:tc>
          <w:tcPr>
            <w:tcW w:w="4784" w:type="dxa"/>
            <w:gridSpan w:val="2"/>
          </w:tcPr>
          <w:p w:rsidR="004D6094" w:rsidRPr="00851290" w:rsidRDefault="004D6094" w:rsidP="004D6094">
            <w:pPr>
              <w:jc w:val="center"/>
              <w:rPr>
                <w:b/>
              </w:rPr>
            </w:pPr>
            <w:r w:rsidRPr="0085129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4D6094" w:rsidRPr="00851290" w:rsidRDefault="004D6094" w:rsidP="004D6094">
            <w:pPr>
              <w:jc w:val="center"/>
              <w:rPr>
                <w:b/>
              </w:rPr>
            </w:pPr>
            <w:r w:rsidRPr="0085129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4D6094" w:rsidRPr="00851290" w:rsidRDefault="00C3457E" w:rsidP="004D6094">
            <w:pPr>
              <w:jc w:val="center"/>
              <w:rPr>
                <w:b/>
              </w:rPr>
            </w:pPr>
            <w:r>
              <w:rPr>
                <w:b/>
              </w:rPr>
              <w:t>Estrategias de mediación sugeridas</w:t>
            </w:r>
          </w:p>
        </w:tc>
      </w:tr>
      <w:tr w:rsidR="004D6094" w:rsidRPr="0052630A" w:rsidTr="00674D0D">
        <w:tc>
          <w:tcPr>
            <w:tcW w:w="2263" w:type="dxa"/>
          </w:tcPr>
          <w:p w:rsidR="004D6094" w:rsidRPr="0052630A" w:rsidRDefault="004D6094" w:rsidP="004D6094">
            <w:pPr>
              <w:jc w:val="center"/>
              <w:rPr>
                <w:b/>
                <w:highlight w:val="yellow"/>
              </w:rPr>
            </w:pPr>
            <w:r w:rsidRPr="00851290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4D6094" w:rsidRPr="00851290" w:rsidRDefault="004D6094" w:rsidP="004D6094">
            <w:pPr>
              <w:jc w:val="center"/>
              <w:rPr>
                <w:b/>
              </w:rPr>
            </w:pPr>
            <w:r w:rsidRPr="00851290">
              <w:rPr>
                <w:b/>
              </w:rPr>
              <w:t>Componente del programa de estudio</w:t>
            </w:r>
          </w:p>
          <w:p w:rsidR="004D6094" w:rsidRPr="0052630A" w:rsidRDefault="004D6094" w:rsidP="004D6094">
            <w:pPr>
              <w:jc w:val="center"/>
              <w:rPr>
                <w:b/>
              </w:rPr>
            </w:pPr>
            <w:r w:rsidRPr="0085129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4D6094" w:rsidRPr="0052630A" w:rsidRDefault="004D6094" w:rsidP="004D6094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4D6094" w:rsidRPr="0052630A" w:rsidRDefault="004D6094" w:rsidP="004D6094">
            <w:pPr>
              <w:jc w:val="center"/>
              <w:rPr>
                <w:b/>
              </w:rPr>
            </w:pPr>
          </w:p>
        </w:tc>
      </w:tr>
      <w:tr w:rsidR="00CE6FDB" w:rsidRPr="0052630A" w:rsidTr="00674D0D">
        <w:trPr>
          <w:trHeight w:val="5139"/>
        </w:trPr>
        <w:tc>
          <w:tcPr>
            <w:tcW w:w="2263" w:type="dxa"/>
            <w:vAlign w:val="center"/>
          </w:tcPr>
          <w:p w:rsidR="00CE6FDB" w:rsidRPr="0052630A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CE6FDB" w:rsidRPr="0052630A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52630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CE6FDB" w:rsidRPr="0052630A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CE6FDB" w:rsidRPr="0052630A" w:rsidRDefault="00CE6FDB" w:rsidP="00CE6FDB">
            <w:pPr>
              <w:jc w:val="both"/>
              <w:rPr>
                <w:rFonts w:cs="Arial"/>
                <w:color w:val="C45911" w:themeColor="accent2" w:themeShade="BF"/>
              </w:rPr>
            </w:pPr>
            <w:r w:rsidRPr="0052630A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CE6FDB" w:rsidRPr="0052630A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CE6FDB" w:rsidRPr="0052630A" w:rsidRDefault="00CE6FDB" w:rsidP="00CE6FDB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2630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CE6FDB" w:rsidRPr="0052630A" w:rsidRDefault="00BA437F" w:rsidP="00CE6FDB">
            <w:pPr>
              <w:jc w:val="both"/>
            </w:pPr>
            <w:r w:rsidRPr="0052630A">
              <w:t>2.1 Aplicación</w:t>
            </w:r>
            <w:r w:rsidR="00CE6FDB" w:rsidRPr="0052630A">
              <w:t xml:space="preserve"> de estrategias que buscan fomentar la lectura apreciativa de variedad de textos literarios y no literarios al leerlos y producirlos en forma habitual.</w:t>
            </w:r>
          </w:p>
          <w:p w:rsidR="00CE6FDB" w:rsidRPr="0052630A" w:rsidRDefault="00CE6FDB" w:rsidP="00674D0D">
            <w:pPr>
              <w:autoSpaceDE w:val="0"/>
              <w:autoSpaceDN w:val="0"/>
              <w:adjustRightInd w:val="0"/>
            </w:pPr>
          </w:p>
          <w:p w:rsidR="00CE6FDB" w:rsidRPr="0052630A" w:rsidRDefault="00CE6FDB" w:rsidP="00CE6FDB">
            <w:pPr>
              <w:autoSpaceDE w:val="0"/>
              <w:autoSpaceDN w:val="0"/>
              <w:adjustRightInd w:val="0"/>
            </w:pPr>
            <w:r w:rsidRPr="0052630A">
              <w:t>(2. Producción de texto.</w:t>
            </w:r>
          </w:p>
          <w:p w:rsidR="00CE6FDB" w:rsidRPr="0052630A" w:rsidRDefault="00CE6FDB" w:rsidP="00CE6FDB">
            <w:pPr>
              <w:autoSpaceDE w:val="0"/>
              <w:autoSpaceDN w:val="0"/>
              <w:adjustRightInd w:val="0"/>
            </w:pPr>
            <w:r w:rsidRPr="0052630A">
              <w:t>Como:</w:t>
            </w:r>
          </w:p>
          <w:p w:rsidR="00CE6FDB" w:rsidRPr="0052630A" w:rsidRDefault="00CE6FDB" w:rsidP="00CE6FDB">
            <w:pPr>
              <w:autoSpaceDE w:val="0"/>
              <w:autoSpaceDN w:val="0"/>
              <w:adjustRightInd w:val="0"/>
            </w:pPr>
            <w:r w:rsidRPr="0052630A">
              <w:t>•Práctica de lectura apreciativa.</w:t>
            </w:r>
          </w:p>
          <w:p w:rsidR="00CE6FDB" w:rsidRPr="0052630A" w:rsidRDefault="00CE6FDB" w:rsidP="00CE6FDB">
            <w:pPr>
              <w:autoSpaceDE w:val="0"/>
              <w:autoSpaceDN w:val="0"/>
              <w:adjustRightInd w:val="0"/>
            </w:pPr>
            <w:r w:rsidRPr="0052630A">
              <w:t>• Relación entre el texto leído o escuchado y el contenido.)</w:t>
            </w:r>
          </w:p>
        </w:tc>
        <w:tc>
          <w:tcPr>
            <w:tcW w:w="0" w:type="auto"/>
          </w:tcPr>
          <w:p w:rsidR="00CE6FDB" w:rsidRPr="0052630A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52630A"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CE6FDB" w:rsidRPr="0052630A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52630A" w:rsidRDefault="00CE6FDB" w:rsidP="00674D0D">
            <w:pPr>
              <w:jc w:val="center"/>
              <w:rPr>
                <w:color w:val="C45911" w:themeColor="accent2" w:themeShade="BF"/>
              </w:rPr>
            </w:pPr>
            <w:r w:rsidRPr="0052630A">
              <w:rPr>
                <w:color w:val="C45911" w:themeColor="accent2" w:themeShade="BF"/>
              </w:rPr>
              <w:t xml:space="preserve">Describe ideas </w:t>
            </w:r>
            <w:r w:rsidR="00C923FA">
              <w:rPr>
                <w:color w:val="C45911" w:themeColor="accent2" w:themeShade="BF"/>
              </w:rPr>
              <w:t>de forma</w:t>
            </w:r>
            <w:r w:rsidRPr="0052630A">
              <w:rPr>
                <w:color w:val="C45911" w:themeColor="accent2" w:themeShade="BF"/>
              </w:rPr>
              <w:t xml:space="preserve"> oral, escrita, plástica y otras.</w:t>
            </w:r>
          </w:p>
          <w:p w:rsidR="00CE6FDB" w:rsidRPr="0052630A" w:rsidRDefault="00CE6FDB" w:rsidP="00674D0D">
            <w:pPr>
              <w:jc w:val="center"/>
              <w:rPr>
                <w:color w:val="C45911" w:themeColor="accent2" w:themeShade="BF"/>
              </w:rPr>
            </w:pPr>
          </w:p>
          <w:p w:rsidR="00CE6FDB" w:rsidRPr="0052630A" w:rsidRDefault="00CE6FDB" w:rsidP="00674D0D">
            <w:pPr>
              <w:jc w:val="center"/>
            </w:pPr>
            <w:r w:rsidRPr="0052630A">
              <w:rPr>
                <w:color w:val="C45911" w:themeColor="accent2" w:themeShade="BF"/>
              </w:rPr>
              <w:t>Describe las producciones orales, escritas plástica</w:t>
            </w:r>
            <w:r w:rsidR="00C923FA">
              <w:rPr>
                <w:color w:val="C45911" w:themeColor="accent2" w:themeShade="BF"/>
              </w:rPr>
              <w:t>s</w:t>
            </w:r>
            <w:r w:rsidRPr="0052630A">
              <w:rPr>
                <w:color w:val="C45911" w:themeColor="accent2" w:themeShade="BF"/>
              </w:rPr>
              <w:t xml:space="preserve"> y otras, que desea realizar.</w:t>
            </w:r>
          </w:p>
        </w:tc>
        <w:tc>
          <w:tcPr>
            <w:tcW w:w="6890" w:type="dxa"/>
          </w:tcPr>
          <w:p w:rsidR="00CE6FDB" w:rsidRPr="0052630A" w:rsidRDefault="00CE6FDB" w:rsidP="00674D0D">
            <w:pPr>
              <w:jc w:val="both"/>
              <w:rPr>
                <w:b/>
              </w:rPr>
            </w:pPr>
          </w:p>
        </w:tc>
      </w:tr>
    </w:tbl>
    <w:p w:rsidR="005A36F7" w:rsidRPr="003053CA" w:rsidRDefault="005A36F7" w:rsidP="005A36F7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CE6FDB" w:rsidRDefault="00CE6FDB" w:rsidP="00CE6FDB">
      <w:pPr>
        <w:spacing w:after="0"/>
        <w:jc w:val="center"/>
        <w:rPr>
          <w:b/>
        </w:rPr>
      </w:pPr>
    </w:p>
    <w:p w:rsidR="00CE6FDB" w:rsidRPr="009E1738" w:rsidRDefault="00CE6FDB" w:rsidP="00CE6FDB">
      <w:pPr>
        <w:spacing w:after="0"/>
        <w:jc w:val="center"/>
        <w:rPr>
          <w:b/>
        </w:rPr>
      </w:pPr>
      <w:r>
        <w:rPr>
          <w:b/>
        </w:rPr>
        <w:t>Instrumento de proceso</w:t>
      </w:r>
    </w:p>
    <w:p w:rsidR="00CE6FDB" w:rsidRDefault="00CE6FDB" w:rsidP="00CE6FD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711096" w:rsidRPr="00217429" w:rsidTr="00711096">
        <w:tc>
          <w:tcPr>
            <w:tcW w:w="1173" w:type="pct"/>
          </w:tcPr>
          <w:p w:rsidR="00711096" w:rsidRDefault="00711096" w:rsidP="00711096">
            <w:pPr>
              <w:jc w:val="center"/>
              <w:rPr>
                <w:b/>
              </w:rPr>
            </w:pPr>
            <w:r>
              <w:rPr>
                <w:b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711096" w:rsidRPr="00032F88" w:rsidRDefault="00711096" w:rsidP="00711096">
            <w:pPr>
              <w:jc w:val="center"/>
              <w:rPr>
                <w:b/>
              </w:rPr>
            </w:pPr>
            <w:r w:rsidRPr="00032F88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711096" w:rsidRPr="00217429" w:rsidRDefault="00711096" w:rsidP="00711096">
            <w:pPr>
              <w:jc w:val="center"/>
              <w:rPr>
                <w:b/>
              </w:rPr>
            </w:pPr>
            <w:r>
              <w:rPr>
                <w:b/>
              </w:rPr>
              <w:t>Inicial</w:t>
            </w:r>
          </w:p>
        </w:tc>
        <w:tc>
          <w:tcPr>
            <w:tcW w:w="831" w:type="pct"/>
          </w:tcPr>
          <w:p w:rsidR="00711096" w:rsidRPr="00217429" w:rsidRDefault="00711096" w:rsidP="00711096">
            <w:pPr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711096" w:rsidRPr="00217429" w:rsidRDefault="00711096" w:rsidP="00711096">
            <w:pPr>
              <w:jc w:val="center"/>
              <w:rPr>
                <w:b/>
              </w:rPr>
            </w:pPr>
            <w:r>
              <w:rPr>
                <w:b/>
              </w:rPr>
              <w:t>Avanzado</w:t>
            </w:r>
          </w:p>
        </w:tc>
      </w:tr>
      <w:tr w:rsidR="004408AB" w:rsidTr="00711096">
        <w:trPr>
          <w:trHeight w:val="526"/>
        </w:trPr>
        <w:tc>
          <w:tcPr>
            <w:tcW w:w="1173" w:type="pct"/>
          </w:tcPr>
          <w:p w:rsidR="004408AB" w:rsidRDefault="004408AB" w:rsidP="004408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Decodificación</w:t>
            </w:r>
          </w:p>
        </w:tc>
        <w:tc>
          <w:tcPr>
            <w:tcW w:w="1173" w:type="pct"/>
          </w:tcPr>
          <w:p w:rsidR="004408AB" w:rsidRPr="0052630A" w:rsidRDefault="004408AB" w:rsidP="004408AB">
            <w:pPr>
              <w:jc w:val="both"/>
              <w:rPr>
                <w:color w:val="C45911" w:themeColor="accent2" w:themeShade="BF"/>
              </w:rPr>
            </w:pPr>
            <w:r w:rsidRPr="0052630A">
              <w:rPr>
                <w:color w:val="C45911" w:themeColor="accent2" w:themeShade="BF"/>
              </w:rPr>
              <w:t>Consigue información de mensajes presentados en diferentes medios.</w:t>
            </w:r>
          </w:p>
          <w:p w:rsidR="004408AB" w:rsidRPr="004D6094" w:rsidRDefault="004408AB" w:rsidP="004408AB">
            <w:pPr>
              <w:jc w:val="both"/>
              <w:rPr>
                <w:rFonts w:ascii="Century Gothic" w:hAnsi="Century Gothic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873" w:type="pct"/>
          </w:tcPr>
          <w:p w:rsidR="004408AB" w:rsidRPr="001952A1" w:rsidRDefault="004408AB" w:rsidP="004408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952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Cita información de mensajes presentados en diferentes medios.</w:t>
            </w:r>
          </w:p>
        </w:tc>
        <w:tc>
          <w:tcPr>
            <w:tcW w:w="831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Encuentra similitudes y diferencias entre información de mensajes presentados en diferentes medios</w:t>
            </w:r>
          </w:p>
        </w:tc>
        <w:tc>
          <w:tcPr>
            <w:tcW w:w="950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Contrasta información de mensajes presentados en diferentes medios.</w:t>
            </w:r>
          </w:p>
        </w:tc>
      </w:tr>
      <w:tr w:rsidR="004408AB" w:rsidRPr="00F84E9C" w:rsidTr="00711096">
        <w:trPr>
          <w:trHeight w:val="590"/>
        </w:trPr>
        <w:tc>
          <w:tcPr>
            <w:tcW w:w="1173" w:type="pct"/>
          </w:tcPr>
          <w:p w:rsidR="004408AB" w:rsidRDefault="004408AB" w:rsidP="004408AB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Comprensión</w:t>
            </w:r>
          </w:p>
        </w:tc>
        <w:tc>
          <w:tcPr>
            <w:tcW w:w="1173" w:type="pct"/>
          </w:tcPr>
          <w:p w:rsidR="004408AB" w:rsidRPr="0052630A" w:rsidRDefault="004408AB" w:rsidP="004408AB">
            <w:pPr>
              <w:jc w:val="both"/>
              <w:rPr>
                <w:color w:val="C45911" w:themeColor="accent2" w:themeShade="BF"/>
              </w:rPr>
            </w:pPr>
            <w:r w:rsidRPr="0052630A">
              <w:rPr>
                <w:color w:val="C45911" w:themeColor="accent2" w:themeShade="BF"/>
              </w:rPr>
              <w:t xml:space="preserve">Describe ideas </w:t>
            </w:r>
            <w:r>
              <w:rPr>
                <w:color w:val="C45911" w:themeColor="accent2" w:themeShade="BF"/>
              </w:rPr>
              <w:t>de forma</w:t>
            </w:r>
            <w:r w:rsidRPr="0052630A">
              <w:rPr>
                <w:color w:val="C45911" w:themeColor="accent2" w:themeShade="BF"/>
              </w:rPr>
              <w:t xml:space="preserve"> oral, escrita, plástica y otras.</w:t>
            </w:r>
          </w:p>
          <w:p w:rsidR="004408AB" w:rsidRPr="004D6094" w:rsidRDefault="004408AB" w:rsidP="004408AB">
            <w:pPr>
              <w:jc w:val="both"/>
              <w:rPr>
                <w:rFonts w:ascii="Century Gothic" w:hAnsi="Century Gothic"/>
                <w:color w:val="C45911" w:themeColor="accent2" w:themeShade="BF"/>
                <w:sz w:val="18"/>
                <w:szCs w:val="18"/>
              </w:rPr>
            </w:pPr>
          </w:p>
        </w:tc>
        <w:tc>
          <w:tcPr>
            <w:tcW w:w="873" w:type="pct"/>
          </w:tcPr>
          <w:p w:rsidR="004408AB" w:rsidRPr="001952A1" w:rsidRDefault="004408AB" w:rsidP="004408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952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ideas generales en forma oral, escrita, plástica y otras.</w:t>
            </w:r>
          </w:p>
        </w:tc>
        <w:tc>
          <w:tcPr>
            <w:tcW w:w="831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Alude (apunta) a ideas particulares expresadas en forma oral, escrita, plásticas y otras.</w:t>
            </w:r>
          </w:p>
        </w:tc>
        <w:tc>
          <w:tcPr>
            <w:tcW w:w="950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Relata ideas a partir de medios escritos, orales, plásticos y otros.</w:t>
            </w:r>
          </w:p>
        </w:tc>
      </w:tr>
      <w:tr w:rsidR="004408AB" w:rsidTr="00711096">
        <w:trPr>
          <w:trHeight w:val="901"/>
        </w:trPr>
        <w:tc>
          <w:tcPr>
            <w:tcW w:w="1173" w:type="pct"/>
          </w:tcPr>
          <w:p w:rsidR="004408AB" w:rsidRDefault="004408AB" w:rsidP="004408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sz w:val="22"/>
                <w:szCs w:val="22"/>
                <w:lang w:eastAsia="en-US"/>
              </w:rPr>
              <w:t>Transmisión efectiva</w:t>
            </w:r>
          </w:p>
        </w:tc>
        <w:tc>
          <w:tcPr>
            <w:tcW w:w="1173" w:type="pct"/>
          </w:tcPr>
          <w:p w:rsidR="004408AB" w:rsidRPr="004D6094" w:rsidRDefault="004408AB" w:rsidP="004408AB">
            <w:pPr>
              <w:jc w:val="both"/>
              <w:rPr>
                <w:rFonts w:ascii="Century Gothic" w:hAnsi="Century Gothic"/>
                <w:color w:val="C45911" w:themeColor="accent2" w:themeShade="BF"/>
                <w:sz w:val="18"/>
                <w:szCs w:val="18"/>
              </w:rPr>
            </w:pPr>
            <w:r w:rsidRPr="0052630A">
              <w:rPr>
                <w:color w:val="C45911" w:themeColor="accent2" w:themeShade="BF"/>
              </w:rPr>
              <w:t>Describe las producciones orales, escritas plástica</w:t>
            </w:r>
            <w:r>
              <w:rPr>
                <w:color w:val="C45911" w:themeColor="accent2" w:themeShade="BF"/>
              </w:rPr>
              <w:t>s</w:t>
            </w:r>
            <w:r w:rsidRPr="0052630A">
              <w:rPr>
                <w:color w:val="C45911" w:themeColor="accent2" w:themeShade="BF"/>
              </w:rPr>
              <w:t xml:space="preserve"> y otras, que desea realizar</w:t>
            </w:r>
          </w:p>
        </w:tc>
        <w:tc>
          <w:tcPr>
            <w:tcW w:w="873" w:type="pct"/>
          </w:tcPr>
          <w:p w:rsidR="004408AB" w:rsidRPr="001952A1" w:rsidRDefault="004408AB" w:rsidP="004408A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952A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Menciona generalidades de producciones orales, escritas plásticas y otras.</w:t>
            </w:r>
          </w:p>
        </w:tc>
        <w:tc>
          <w:tcPr>
            <w:tcW w:w="831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Alude a las particularidades de las producciones orales, escritas, plástica y otras que desea realizar.</w:t>
            </w:r>
          </w:p>
        </w:tc>
        <w:tc>
          <w:tcPr>
            <w:tcW w:w="950" w:type="pct"/>
            <w:vAlign w:val="center"/>
          </w:tcPr>
          <w:p w:rsidR="004408AB" w:rsidRPr="001952A1" w:rsidRDefault="004408AB" w:rsidP="004408AB">
            <w:pPr>
              <w:jc w:val="center"/>
            </w:pPr>
            <w:r w:rsidRPr="001952A1">
              <w:t>Relata los detalles de las producciones orales, escritas, plásticas y otras que desea realizar.</w:t>
            </w:r>
          </w:p>
        </w:tc>
      </w:tr>
    </w:tbl>
    <w:p w:rsidR="00CE6FDB" w:rsidRDefault="00CE6FDB" w:rsidP="00CE6FDB">
      <w:pPr>
        <w:jc w:val="center"/>
        <w:rPr>
          <w:b/>
        </w:rPr>
      </w:pPr>
    </w:p>
    <w:p w:rsidR="00CE6FDB" w:rsidRDefault="00CE6FDB" w:rsidP="00CE6FDB">
      <w:pPr>
        <w:jc w:val="center"/>
        <w:rPr>
          <w:b/>
        </w:rPr>
      </w:pPr>
    </w:p>
    <w:p w:rsidR="00CE6FDB" w:rsidRDefault="00CE6FDB" w:rsidP="00CE6FDB">
      <w:pPr>
        <w:jc w:val="center"/>
        <w:rPr>
          <w:b/>
        </w:rPr>
      </w:pPr>
    </w:p>
    <w:p w:rsidR="00CE6FDB" w:rsidRDefault="00CE6FDB" w:rsidP="00CE6FDB">
      <w:pPr>
        <w:jc w:val="center"/>
        <w:rPr>
          <w:b/>
        </w:rPr>
      </w:pPr>
    </w:p>
    <w:p w:rsidR="00CE6FDB" w:rsidRDefault="00CE6FDB" w:rsidP="00CE6FDB">
      <w:pPr>
        <w:jc w:val="center"/>
        <w:rPr>
          <w:b/>
        </w:rPr>
      </w:pPr>
    </w:p>
    <w:p w:rsidR="00CE6FDB" w:rsidRDefault="00CE6FDB" w:rsidP="00CE6FDB">
      <w:pPr>
        <w:jc w:val="center"/>
        <w:rPr>
          <w:b/>
        </w:rPr>
      </w:pP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712C72" w:rsidRDefault="00712C72" w:rsidP="00712C7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712C72" w:rsidRDefault="00712C72" w:rsidP="00712C72">
      <w:pPr>
        <w:pStyle w:val="Sinespaciado"/>
        <w:rPr>
          <w:rFonts w:ascii="Cambria" w:eastAsia="Calibri" w:hAnsi="Cambria" w:cs="Arial"/>
          <w:lang w:eastAsia="en-US"/>
        </w:rPr>
      </w:pPr>
    </w:p>
    <w:p w:rsidR="00712C72" w:rsidRDefault="00712C72" w:rsidP="00712C7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712C72" w:rsidRDefault="00712C72" w:rsidP="00712C72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712C72" w:rsidRDefault="00712C72" w:rsidP="00712C72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712C72" w:rsidRDefault="00712C72" w:rsidP="00712C72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712C72" w:rsidRDefault="00712C72" w:rsidP="00712C72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712C72" w:rsidRDefault="00712C72" w:rsidP="00712C72">
      <w:pPr>
        <w:rPr>
          <w:rFonts w:ascii="Calibri" w:eastAsia="Calibri" w:hAnsi="Calibri" w:cs="Times New Roman"/>
        </w:rPr>
      </w:pPr>
      <w:r>
        <w:t xml:space="preserve"> </w:t>
      </w:r>
    </w:p>
    <w:p w:rsidR="00712C72" w:rsidRDefault="00712C72" w:rsidP="00712C72">
      <w:pPr>
        <w:rPr>
          <w:b/>
        </w:rPr>
      </w:pPr>
      <w:r>
        <w:rPr>
          <w:b/>
        </w:rPr>
        <w:t>Docentes:</w:t>
      </w:r>
    </w:p>
    <w:p w:rsidR="00712C72" w:rsidRDefault="00712C72" w:rsidP="00712C72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712C72" w:rsidRDefault="00712C72" w:rsidP="00712C72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712C72" w:rsidRDefault="00712C72" w:rsidP="00712C72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712C72" w:rsidRDefault="00712C72" w:rsidP="00712C72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712C72" w:rsidRDefault="00712C72" w:rsidP="00712C72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712C72" w:rsidRDefault="00712C72" w:rsidP="00712C72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712C72" w:rsidRDefault="00712C72" w:rsidP="00712C72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CE6FDB" w:rsidRDefault="00CE6FDB" w:rsidP="00CE6FDB">
      <w:pPr>
        <w:jc w:val="center"/>
        <w:rPr>
          <w:b/>
        </w:rPr>
      </w:pPr>
      <w:bookmarkStart w:id="0" w:name="_GoBack"/>
      <w:bookmarkEnd w:id="0"/>
    </w:p>
    <w:p w:rsidR="00CE6FDB" w:rsidRDefault="00CE6FDB" w:rsidP="009E03BE">
      <w:pPr>
        <w:jc w:val="center"/>
        <w:rPr>
          <w:b/>
        </w:rPr>
      </w:pPr>
    </w:p>
    <w:p w:rsidR="009E03BE" w:rsidRDefault="009E03BE" w:rsidP="009E03BE">
      <w:pPr>
        <w:jc w:val="center"/>
        <w:rPr>
          <w:b/>
        </w:rPr>
      </w:pPr>
    </w:p>
    <w:p w:rsidR="009E03BE" w:rsidRDefault="009E03BE" w:rsidP="00E559CD">
      <w:pPr>
        <w:jc w:val="center"/>
        <w:rPr>
          <w:b/>
        </w:rPr>
      </w:pPr>
    </w:p>
    <w:p w:rsidR="00095E51" w:rsidRDefault="00095E51" w:rsidP="008A5E53">
      <w:pPr>
        <w:rPr>
          <w:b/>
        </w:rPr>
      </w:pPr>
    </w:p>
    <w:sectPr w:rsidR="00095E51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E50" w:rsidRDefault="00211E50" w:rsidP="00140D69">
      <w:pPr>
        <w:spacing w:after="0" w:line="240" w:lineRule="auto"/>
      </w:pPr>
      <w:r>
        <w:separator/>
      </w:r>
    </w:p>
  </w:endnote>
  <w:endnote w:type="continuationSeparator" w:id="0">
    <w:p w:rsidR="00211E50" w:rsidRDefault="00211E50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 w:rsidP="00884B97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884B97" w:rsidRDefault="00884B97" w:rsidP="00884B97">
    <w:pPr>
      <w:pStyle w:val="Piedepgina"/>
      <w:tabs>
        <w:tab w:val="clear" w:pos="4419"/>
        <w:tab w:val="clear" w:pos="8838"/>
        <w:tab w:val="left" w:pos="181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E50" w:rsidRDefault="00211E50" w:rsidP="00140D69">
      <w:pPr>
        <w:spacing w:after="0" w:line="240" w:lineRule="auto"/>
      </w:pPr>
      <w:r>
        <w:separator/>
      </w:r>
    </w:p>
  </w:footnote>
  <w:footnote w:type="continuationSeparator" w:id="0">
    <w:p w:rsidR="00211E50" w:rsidRDefault="00211E50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B97" w:rsidRDefault="00884B9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14EC"/>
    <w:rsid w:val="0007468F"/>
    <w:rsid w:val="000805A7"/>
    <w:rsid w:val="0008555D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1E50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CC9"/>
    <w:rsid w:val="002C5FEA"/>
    <w:rsid w:val="002D6BFD"/>
    <w:rsid w:val="002E0CE6"/>
    <w:rsid w:val="002E69E6"/>
    <w:rsid w:val="002E7FC6"/>
    <w:rsid w:val="002F2ECD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8AB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6094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2630A"/>
    <w:rsid w:val="00546E08"/>
    <w:rsid w:val="005476DD"/>
    <w:rsid w:val="005523C9"/>
    <w:rsid w:val="005527D1"/>
    <w:rsid w:val="00562420"/>
    <w:rsid w:val="00570DCE"/>
    <w:rsid w:val="00572C6A"/>
    <w:rsid w:val="00574658"/>
    <w:rsid w:val="00580965"/>
    <w:rsid w:val="005918AA"/>
    <w:rsid w:val="005927F7"/>
    <w:rsid w:val="005A36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23965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096"/>
    <w:rsid w:val="007115FE"/>
    <w:rsid w:val="00712C72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84B97"/>
    <w:rsid w:val="00891F4A"/>
    <w:rsid w:val="00893753"/>
    <w:rsid w:val="00896811"/>
    <w:rsid w:val="008A0CDB"/>
    <w:rsid w:val="008A5E53"/>
    <w:rsid w:val="008B61CF"/>
    <w:rsid w:val="008B636F"/>
    <w:rsid w:val="008C176E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2899"/>
    <w:rsid w:val="0095439C"/>
    <w:rsid w:val="00954C88"/>
    <w:rsid w:val="00954EDB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AE00EB"/>
    <w:rsid w:val="00B06904"/>
    <w:rsid w:val="00B20D38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8748A"/>
    <w:rsid w:val="00B903FF"/>
    <w:rsid w:val="00B93128"/>
    <w:rsid w:val="00BA437F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3457E"/>
    <w:rsid w:val="00C40B6B"/>
    <w:rsid w:val="00C42102"/>
    <w:rsid w:val="00C457F7"/>
    <w:rsid w:val="00C52F52"/>
    <w:rsid w:val="00C56724"/>
    <w:rsid w:val="00C65B70"/>
    <w:rsid w:val="00C673A4"/>
    <w:rsid w:val="00C73AC1"/>
    <w:rsid w:val="00C76F13"/>
    <w:rsid w:val="00C77DDF"/>
    <w:rsid w:val="00C84AB5"/>
    <w:rsid w:val="00C923FA"/>
    <w:rsid w:val="00CA006C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712C72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DCFA0-F1A8-400E-AD5C-832189AF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6</Pages>
  <Words>1220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303</cp:revision>
  <dcterms:created xsi:type="dcterms:W3CDTF">2019-02-28T19:25:00Z</dcterms:created>
  <dcterms:modified xsi:type="dcterms:W3CDTF">2019-12-02T16:11:00Z</dcterms:modified>
</cp:coreProperties>
</file>