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33" w:rsidRPr="00A57BCE" w:rsidRDefault="002E3133" w:rsidP="002E3133">
      <w:pPr>
        <w:spacing w:after="0" w:line="240" w:lineRule="auto"/>
        <w:jc w:val="center"/>
        <w:rPr>
          <w:b/>
        </w:rPr>
      </w:pPr>
      <w:r w:rsidRPr="00A57BCE">
        <w:rPr>
          <w:b/>
        </w:rPr>
        <w:t xml:space="preserve">Lineamientos generales para el planeamiento de </w:t>
      </w:r>
    </w:p>
    <w:p w:rsidR="002E3133" w:rsidRPr="00A57BCE" w:rsidRDefault="002E3133" w:rsidP="002E3133">
      <w:pPr>
        <w:spacing w:after="0" w:line="240" w:lineRule="auto"/>
        <w:jc w:val="center"/>
        <w:rPr>
          <w:b/>
        </w:rPr>
      </w:pPr>
      <w:r w:rsidRPr="00A57BCE">
        <w:rPr>
          <w:b/>
        </w:rPr>
        <w:t>Español en Primer Ciclo y Segundo Ciclo</w:t>
      </w:r>
    </w:p>
    <w:p w:rsidR="002E3133" w:rsidRPr="00A57BCE" w:rsidRDefault="002E3133" w:rsidP="002E3133">
      <w:pPr>
        <w:spacing w:after="0" w:line="240" w:lineRule="auto"/>
        <w:jc w:val="center"/>
      </w:pP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Las actividades de mediación para desarrollar las lecciones de </w:t>
      </w:r>
      <w:proofErr w:type="gramStart"/>
      <w:r w:rsidRPr="00A57BCE">
        <w:t>Español</w:t>
      </w:r>
      <w:proofErr w:type="gramEnd"/>
      <w:r w:rsidRPr="00A57BCE">
        <w:t xml:space="preserve"> en primaria, se elaboran considerando los tres momentos claves para el abordaje de los contenidos curriculares correspondientes (inicio, desarrollo y cierre).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>Las actividades de mediación se redactan de manera muy detallada y en tercera persona singular.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El contenido curricular actitudinal correspondiente debe evidenciarse en la redacción de alguna de las actividades de mediación y se subraya o escribe con letra negrita o de otro color. 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57BCE">
        <w:t>supracitado</w:t>
      </w:r>
      <w:proofErr w:type="spellEnd"/>
      <w:r w:rsidRPr="00A57BCE">
        <w:t xml:space="preserve"> establece la dosificación por nivel y las listas de lecturas recomendadas para ambos ciclos educativos.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57BCE">
        <w:rPr>
          <w:b/>
        </w:rPr>
        <w:t>DVM-AC-0015-01-2017</w:t>
      </w:r>
      <w:r w:rsidRPr="00A57BCE">
        <w:t xml:space="preserve">. 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57BCE">
        <w:t>subsitio</w:t>
      </w:r>
      <w:proofErr w:type="spellEnd"/>
      <w:r w:rsidRPr="00A57BCE">
        <w:t xml:space="preserve"> Piensa en Arte, al cual se puede ingresar con una contraseña creada por el usuario que cuente con correo oficial del MEP.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>El contenido 4.1 de primer año se debe retomar periódicamente, cada vez que se trabaje el desarrollo o estimulación de la conciencia fonológica.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>Debido a lo expuesto en el punto anterior, y como parte del proceso de lectoescritura, la unidad de articulación se abarca hacia el final del primer año, o bien, al iniciar el segundo año escolar.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2E3133" w:rsidRPr="00A57BCE" w:rsidRDefault="002E3133" w:rsidP="002E3133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57BCE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191CFE">
        <w:rPr>
          <w:b/>
        </w:rPr>
        <w:lastRenderedPageBreak/>
        <w:t>Plantilla de p</w:t>
      </w:r>
      <w:r w:rsidR="004516A4" w:rsidRPr="00191CFE">
        <w:rPr>
          <w:b/>
        </w:rPr>
        <w:t>laneamiento didáctico</w:t>
      </w:r>
      <w:r w:rsidR="006969B6" w:rsidRPr="00191CFE">
        <w:rPr>
          <w:b/>
        </w:rPr>
        <w:t xml:space="preserve"> de Español </w:t>
      </w:r>
    </w:p>
    <w:p w:rsidR="00E37B9E" w:rsidRDefault="00E37B9E" w:rsidP="00E37B9E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191CF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91CF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191CF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191CFE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236FD0"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191CFE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E96015" w:rsidRPr="00191CFE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191CF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236FD0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191CFE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B02D6" w:rsidRPr="00191CFE" w:rsidRDefault="00E37B9E" w:rsidP="00F3129B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587D34" w:rsidRPr="00191CFE" w:rsidRDefault="00587D34" w:rsidP="00F3129B">
      <w:pPr>
        <w:spacing w:after="0"/>
        <w:rPr>
          <w:b/>
        </w:rPr>
      </w:pPr>
    </w:p>
    <w:tbl>
      <w:tblPr>
        <w:tblStyle w:val="Tablaconcuadrcula"/>
        <w:tblpPr w:leftFromText="141" w:rightFromText="141" w:vertAnchor="text" w:horzAnchor="margin" w:tblpY="-49"/>
        <w:tblW w:w="5002" w:type="pct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587D34" w:rsidRPr="00191CFE" w:rsidTr="00587D3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587D34" w:rsidRPr="00191CFE" w:rsidRDefault="00E96015" w:rsidP="00587D3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587D34" w:rsidRPr="00191CF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587D34" w:rsidRPr="00191CFE" w:rsidTr="00587D3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191CF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587D34" w:rsidRPr="00191CFE" w:rsidRDefault="00587D34" w:rsidP="00587D34">
            <w:pPr>
              <w:jc w:val="both"/>
              <w:rPr>
                <w:color w:val="000000" w:themeColor="text1"/>
              </w:rPr>
            </w:pPr>
          </w:p>
        </w:tc>
      </w:tr>
      <w:tr w:rsidR="00587D34" w:rsidRPr="00191CFE" w:rsidTr="00587D3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587D34" w:rsidRPr="00191CFE" w:rsidRDefault="00587D34" w:rsidP="00587D3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587D34" w:rsidRPr="00191CFE" w:rsidRDefault="00587D34" w:rsidP="00587D34">
            <w:pPr>
              <w:jc w:val="center"/>
              <w:rPr>
                <w:color w:val="000000" w:themeColor="text1"/>
              </w:rPr>
            </w:pPr>
          </w:p>
        </w:tc>
      </w:tr>
      <w:tr w:rsidR="00587D34" w:rsidRPr="00191CFE" w:rsidTr="00587D3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587D34" w:rsidRPr="00191CFE" w:rsidRDefault="00587D34" w:rsidP="00587D3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tbl>
      <w:tblPr>
        <w:tblStyle w:val="Tablaconcuadrcula"/>
        <w:tblW w:w="5067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2262"/>
        <w:gridCol w:w="895"/>
        <w:gridCol w:w="1629"/>
        <w:gridCol w:w="1929"/>
        <w:gridCol w:w="6299"/>
        <w:gridCol w:w="383"/>
      </w:tblGrid>
      <w:tr w:rsidR="00587D34" w:rsidRPr="00191CFE" w:rsidTr="00E37B9E">
        <w:trPr>
          <w:gridAfter w:val="1"/>
          <w:wAfter w:w="143" w:type="pct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87D34" w:rsidRPr="00191CFE" w:rsidRDefault="00587D34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87D34" w:rsidRPr="00191CFE" w:rsidRDefault="00E96015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587D34" w:rsidRPr="00191CF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587D34" w:rsidRPr="00191CFE" w:rsidTr="00E37B9E">
        <w:trPr>
          <w:gridAfter w:val="1"/>
          <w:wAfter w:w="143" w:type="pct"/>
          <w:trHeight w:val="454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87D34" w:rsidRPr="00191CFE" w:rsidRDefault="00587D34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Comunicación:</w:t>
            </w:r>
          </w:p>
          <w:p w:rsidR="00587D34" w:rsidRPr="00191CFE" w:rsidRDefault="00587D34" w:rsidP="00B156CC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191CF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587D34" w:rsidRPr="00191CFE" w:rsidRDefault="00587D34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587D34" w:rsidRPr="00191CFE" w:rsidRDefault="00587D34" w:rsidP="00587D34">
            <w:pPr>
              <w:jc w:val="center"/>
              <w:rPr>
                <w:color w:val="000000" w:themeColor="text1"/>
              </w:rPr>
            </w:pPr>
          </w:p>
        </w:tc>
      </w:tr>
      <w:tr w:rsidR="00587D34" w:rsidRPr="00191CFE" w:rsidTr="00E37B9E">
        <w:trPr>
          <w:gridAfter w:val="1"/>
          <w:wAfter w:w="143" w:type="pct"/>
          <w:trHeight w:val="454"/>
        </w:trPr>
        <w:tc>
          <w:tcPr>
            <w:tcW w:w="11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87D34" w:rsidRPr="00191CFE" w:rsidRDefault="00587D34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587D34" w:rsidRPr="00191CFE" w:rsidRDefault="00587D34" w:rsidP="00587D34">
            <w:pPr>
              <w:jc w:val="center"/>
              <w:rPr>
                <w:rFonts w:cs="Arial"/>
              </w:rPr>
            </w:pPr>
            <w:r w:rsidRPr="00191CFE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587D34" w:rsidRPr="00191CFE" w:rsidRDefault="00587D34" w:rsidP="00587D34">
            <w:pPr>
              <w:jc w:val="center"/>
              <w:rPr>
                <w:color w:val="000000" w:themeColor="text1"/>
              </w:rPr>
            </w:pPr>
          </w:p>
        </w:tc>
      </w:tr>
      <w:tr w:rsidR="00587D34" w:rsidRPr="00191CFE" w:rsidTr="00E37B9E">
        <w:trPr>
          <w:gridAfter w:val="1"/>
          <w:wAfter w:w="143" w:type="pct"/>
          <w:trHeight w:val="454"/>
        </w:trPr>
        <w:tc>
          <w:tcPr>
            <w:tcW w:w="11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87D34" w:rsidRPr="00191CFE" w:rsidRDefault="00587D34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587D34" w:rsidRPr="00191CFE" w:rsidRDefault="00587D34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587D34" w:rsidRPr="00191CFE" w:rsidRDefault="00587D34" w:rsidP="00587D34">
            <w:pPr>
              <w:jc w:val="center"/>
            </w:pPr>
            <w:r w:rsidRPr="00191CFE">
              <w:rPr>
                <w:rFonts w:cs="Arial"/>
              </w:rPr>
              <w:t xml:space="preserve">(Crea, a través del código oral y escrito, diversas obras de expresión con valores estéticos y literarios, </w:t>
            </w:r>
            <w:r w:rsidRPr="00191CFE">
              <w:rPr>
                <w:rFonts w:cs="Arial"/>
              </w:rPr>
              <w:lastRenderedPageBreak/>
              <w:t>respetando los cánones gramaticales).</w:t>
            </w:r>
          </w:p>
        </w:tc>
      </w:tr>
      <w:tr w:rsidR="00E37B9E" w:rsidRPr="00E37B9E" w:rsidTr="00E37B9E">
        <w:trPr>
          <w:gridAfter w:val="1"/>
          <w:wAfter w:w="143" w:type="pct"/>
          <w:trHeight w:val="454"/>
        </w:trPr>
        <w:tc>
          <w:tcPr>
            <w:tcW w:w="48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7B9E" w:rsidRDefault="00E37B9E" w:rsidP="00E37B9E">
            <w:pPr>
              <w:rPr>
                <w:b/>
              </w:rPr>
            </w:pPr>
          </w:p>
          <w:p w:rsidR="00E37B9E" w:rsidRPr="00E37B9E" w:rsidRDefault="00E37B9E" w:rsidP="00E37B9E">
            <w:pPr>
              <w:rPr>
                <w:b/>
              </w:rPr>
            </w:pPr>
            <w:r w:rsidRPr="00E37B9E">
              <w:rPr>
                <w:b/>
              </w:rPr>
              <w:t>Sección II. Aprendizajes esperados, indicadores de los aprendizajes esperados y estrategias de mediación.</w:t>
            </w:r>
          </w:p>
          <w:p w:rsidR="00E37B9E" w:rsidRPr="00E37B9E" w:rsidRDefault="00E37B9E" w:rsidP="00587D3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B49F7" w:rsidRPr="00191CFE" w:rsidTr="00E37B9E">
        <w:tblPrEx>
          <w:shd w:val="clear" w:color="auto" w:fill="auto"/>
        </w:tblPrEx>
        <w:tc>
          <w:tcPr>
            <w:tcW w:w="1786" w:type="pct"/>
            <w:gridSpan w:val="3"/>
          </w:tcPr>
          <w:p w:rsidR="007963F9" w:rsidRPr="00191CFE" w:rsidRDefault="007963F9" w:rsidP="004516A4">
            <w:pPr>
              <w:jc w:val="center"/>
              <w:rPr>
                <w:b/>
              </w:rPr>
            </w:pPr>
            <w:r w:rsidRPr="00191CFE">
              <w:rPr>
                <w:b/>
              </w:rPr>
              <w:t>Aprendizaje esperado</w:t>
            </w:r>
          </w:p>
        </w:tc>
        <w:tc>
          <w:tcPr>
            <w:tcW w:w="720" w:type="pct"/>
            <w:vMerge w:val="restart"/>
            <w:vAlign w:val="center"/>
          </w:tcPr>
          <w:p w:rsidR="007963F9" w:rsidRPr="00191CFE" w:rsidRDefault="007963F9" w:rsidP="007963F9">
            <w:pPr>
              <w:jc w:val="center"/>
              <w:rPr>
                <w:b/>
              </w:rPr>
            </w:pPr>
            <w:r w:rsidRPr="00191CFE">
              <w:rPr>
                <w:b/>
              </w:rPr>
              <w:t>Indicadores del aprendizaje esperado</w:t>
            </w:r>
          </w:p>
        </w:tc>
        <w:tc>
          <w:tcPr>
            <w:tcW w:w="2494" w:type="pct"/>
            <w:gridSpan w:val="2"/>
            <w:vMerge w:val="restart"/>
            <w:vAlign w:val="center"/>
          </w:tcPr>
          <w:p w:rsidR="007963F9" w:rsidRPr="00191CFE" w:rsidRDefault="00E96015" w:rsidP="007963F9">
            <w:pPr>
              <w:jc w:val="center"/>
              <w:rPr>
                <w:b/>
              </w:rPr>
            </w:pPr>
            <w:r w:rsidRPr="00191CFE">
              <w:rPr>
                <w:b/>
              </w:rPr>
              <w:t>Estrategias</w:t>
            </w:r>
            <w:r w:rsidR="007963F9" w:rsidRPr="00191CFE">
              <w:rPr>
                <w:b/>
              </w:rPr>
              <w:t xml:space="preserve"> </w:t>
            </w:r>
            <w:r w:rsidR="00587D34" w:rsidRPr="00191CFE">
              <w:rPr>
                <w:b/>
              </w:rPr>
              <w:t>de m</w:t>
            </w:r>
            <w:r w:rsidR="007963F9" w:rsidRPr="00191CFE">
              <w:rPr>
                <w:b/>
              </w:rPr>
              <w:t>ediación</w:t>
            </w:r>
          </w:p>
        </w:tc>
      </w:tr>
      <w:tr w:rsidR="004B49F7" w:rsidRPr="00191CFE" w:rsidTr="00E37B9E">
        <w:tblPrEx>
          <w:shd w:val="clear" w:color="auto" w:fill="auto"/>
        </w:tblPrEx>
        <w:tc>
          <w:tcPr>
            <w:tcW w:w="844" w:type="pct"/>
          </w:tcPr>
          <w:p w:rsidR="007963F9" w:rsidRPr="00191CFE" w:rsidRDefault="0071690E" w:rsidP="004516A4">
            <w:pPr>
              <w:jc w:val="center"/>
              <w:rPr>
                <w:b/>
                <w:highlight w:val="yellow"/>
              </w:rPr>
            </w:pPr>
            <w:r w:rsidRPr="00191CFE">
              <w:rPr>
                <w:b/>
              </w:rPr>
              <w:t>Desarrollo</w:t>
            </w:r>
            <w:r w:rsidR="007963F9" w:rsidRPr="00191CFE">
              <w:rPr>
                <w:b/>
              </w:rPr>
              <w:t xml:space="preserve"> de la habilidad</w:t>
            </w:r>
          </w:p>
        </w:tc>
        <w:tc>
          <w:tcPr>
            <w:tcW w:w="942" w:type="pct"/>
            <w:gridSpan w:val="2"/>
          </w:tcPr>
          <w:p w:rsidR="007963F9" w:rsidRPr="00191CFE" w:rsidRDefault="007963F9" w:rsidP="004516A4">
            <w:pPr>
              <w:jc w:val="center"/>
              <w:rPr>
                <w:b/>
              </w:rPr>
            </w:pPr>
            <w:r w:rsidRPr="00191CFE">
              <w:rPr>
                <w:b/>
              </w:rPr>
              <w:t>Componente del programa de estudio</w:t>
            </w:r>
          </w:p>
          <w:p w:rsidR="00587D34" w:rsidRPr="00191CFE" w:rsidRDefault="00587D34" w:rsidP="004516A4">
            <w:pPr>
              <w:jc w:val="center"/>
              <w:rPr>
                <w:b/>
              </w:rPr>
            </w:pPr>
            <w:r w:rsidRPr="00191CFE">
              <w:rPr>
                <w:b/>
              </w:rPr>
              <w:t>(contenido curricular procedimental)</w:t>
            </w:r>
          </w:p>
        </w:tc>
        <w:tc>
          <w:tcPr>
            <w:tcW w:w="720" w:type="pct"/>
            <w:vMerge/>
          </w:tcPr>
          <w:p w:rsidR="007963F9" w:rsidRPr="00191CFE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2494" w:type="pct"/>
            <w:gridSpan w:val="2"/>
            <w:vMerge/>
          </w:tcPr>
          <w:p w:rsidR="007963F9" w:rsidRPr="00191CFE" w:rsidRDefault="007963F9" w:rsidP="004516A4">
            <w:pPr>
              <w:jc w:val="center"/>
              <w:rPr>
                <w:b/>
              </w:rPr>
            </w:pPr>
          </w:p>
        </w:tc>
      </w:tr>
      <w:tr w:rsidR="00BB2B0A" w:rsidRPr="00191CFE" w:rsidTr="00E37B9E">
        <w:tblPrEx>
          <w:shd w:val="clear" w:color="auto" w:fill="auto"/>
        </w:tblPrEx>
        <w:trPr>
          <w:trHeight w:val="548"/>
        </w:trPr>
        <w:tc>
          <w:tcPr>
            <w:tcW w:w="844" w:type="pct"/>
          </w:tcPr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Aprender a</w:t>
            </w: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Aprender:</w:t>
            </w:r>
          </w:p>
          <w:p w:rsidR="00BB2B0A" w:rsidRPr="00191CFE" w:rsidRDefault="00BB2B0A" w:rsidP="005A3B21">
            <w:pPr>
              <w:pStyle w:val="Pa5"/>
              <w:jc w:val="center"/>
              <w:rPr>
                <w:rFonts w:asciiTheme="minorHAnsi" w:eastAsia="Times New Roman" w:hAnsiTheme="minorHAnsi"/>
                <w:color w:val="BF8F00" w:themeColor="accent4" w:themeShade="BF"/>
                <w:sz w:val="22"/>
                <w:szCs w:val="22"/>
                <w:lang w:eastAsia="es-ES"/>
              </w:rPr>
            </w:pPr>
            <w:r w:rsidRPr="00191CFE">
              <w:rPr>
                <w:rFonts w:asciiTheme="minorHAnsi" w:eastAsia="Times New Roman" w:hAnsiTheme="minorHAnsi"/>
                <w:color w:val="BF8F00" w:themeColor="accent4" w:themeShade="BF"/>
                <w:sz w:val="22"/>
                <w:szCs w:val="22"/>
                <w:lang w:eastAsia="es-ES"/>
              </w:rPr>
              <w:t>Resolución de problemas capacidad de conocer, organizar y auto-regular el propio proceso de aprendizaje.</w:t>
            </w:r>
          </w:p>
          <w:p w:rsidR="00BB2B0A" w:rsidRPr="00191CFE" w:rsidRDefault="00BB2B0A" w:rsidP="00755F2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B2B0A" w:rsidRPr="00191CFE" w:rsidRDefault="00BB2B0A" w:rsidP="00755F2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BB2B0A" w:rsidRPr="00191CFE" w:rsidRDefault="00BB2B0A" w:rsidP="00755F2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BB2B0A" w:rsidRPr="00191CFE" w:rsidRDefault="00BB2B0A" w:rsidP="00755F2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(Desarrolla autonomía en las tareas que debe realizar para alcanzar </w:t>
            </w: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los propósitos que se ha propuesto).</w:t>
            </w: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BB2B0A" w:rsidRPr="00147CC1" w:rsidRDefault="00BB2B0A" w:rsidP="00A26A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 w:rsidRPr="00147CC1"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Comunicación:</w:t>
            </w:r>
          </w:p>
          <w:p w:rsidR="00BB2B0A" w:rsidRPr="00191CFE" w:rsidRDefault="00BB2B0A" w:rsidP="005A3B2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:rsidR="00BB2B0A" w:rsidRPr="00191CFE" w:rsidRDefault="00BB2B0A" w:rsidP="00A26A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Comprensión</w:t>
            </w:r>
          </w:p>
          <w:p w:rsidR="00BB2B0A" w:rsidRPr="00191CFE" w:rsidRDefault="00BB2B0A" w:rsidP="00A26A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  <w:t>(Descifra valores, conocimientos actitudes e intenciones en las diversas formas de comunicación, considerando su contexto).</w:t>
            </w:r>
          </w:p>
          <w:p w:rsidR="00BB2B0A" w:rsidRPr="00191CFE" w:rsidRDefault="00BB2B0A" w:rsidP="00A26A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:rsidR="00BB2B0A" w:rsidRPr="00191CFE" w:rsidRDefault="00BB2B0A" w:rsidP="00A26A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:rsidR="00BB2B0A" w:rsidRPr="00191CFE" w:rsidRDefault="00BB2B0A" w:rsidP="00A26A1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Trasmisión efectiva</w:t>
            </w:r>
          </w:p>
          <w:p w:rsidR="00BB2B0A" w:rsidRPr="00191CFE" w:rsidRDefault="00BB2B0A" w:rsidP="00BB2B0A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  <w:t xml:space="preserve">(Crea, a través del código oral y escrito, diversas obras de expresión con valores estéticos y literarios, respetando los </w:t>
            </w:r>
            <w:r w:rsidRPr="00191CFE">
              <w:rPr>
                <w:rFonts w:asciiTheme="minorHAnsi" w:eastAsiaTheme="minorHAnsi" w:hAnsiTheme="minorHAnsi" w:cstheme="minorBidi"/>
                <w:color w:val="C45911" w:themeColor="accent2" w:themeShade="BF"/>
                <w:sz w:val="22"/>
                <w:szCs w:val="22"/>
                <w:lang w:eastAsia="en-US"/>
              </w:rPr>
              <w:lastRenderedPageBreak/>
              <w:t>cánones gramaticales).</w:t>
            </w:r>
          </w:p>
        </w:tc>
        <w:tc>
          <w:tcPr>
            <w:tcW w:w="942" w:type="pct"/>
            <w:gridSpan w:val="2"/>
          </w:tcPr>
          <w:p w:rsidR="00BB2B0A" w:rsidRPr="00191CFE" w:rsidRDefault="00BB2B0A" w:rsidP="00092CC3">
            <w:pPr>
              <w:jc w:val="both"/>
            </w:pPr>
            <w:r w:rsidRPr="00191CFE">
              <w:lastRenderedPageBreak/>
              <w:t>13.1 Utilización de diversas  técnicas de comprensión oral  (dramatizaciones, audios, videos, exposiciones, debates, entre otros), de temas relacionados con las actividades escolares para captar el sentido de los textos.</w:t>
            </w:r>
          </w:p>
          <w:p w:rsidR="00BB2B0A" w:rsidRPr="00191CFE" w:rsidRDefault="00BB2B0A" w:rsidP="00092CC3">
            <w:pPr>
              <w:jc w:val="both"/>
            </w:pPr>
          </w:p>
          <w:p w:rsidR="00BB2B0A" w:rsidRPr="00191CFE" w:rsidRDefault="00BB2B0A" w:rsidP="00092CC3">
            <w:pPr>
              <w:jc w:val="both"/>
            </w:pPr>
          </w:p>
          <w:p w:rsidR="00BB2B0A" w:rsidRPr="00191CFE" w:rsidRDefault="00FB0046" w:rsidP="00092CC3">
            <w:pPr>
              <w:jc w:val="both"/>
            </w:pPr>
            <w:r w:rsidRPr="00191CFE">
              <w:t>(</w:t>
            </w:r>
            <w:r w:rsidR="00BB2B0A" w:rsidRPr="00191CFE">
              <w:t>Producción textual oral:</w:t>
            </w:r>
          </w:p>
          <w:p w:rsidR="00BB2B0A" w:rsidRPr="00191CFE" w:rsidRDefault="00BB2B0A" w:rsidP="00092CC3">
            <w:pPr>
              <w:jc w:val="both"/>
            </w:pPr>
            <w:r w:rsidRPr="00191CFE">
              <w:t>*Relación entre el tema y el contenido.</w:t>
            </w:r>
          </w:p>
          <w:p w:rsidR="00BB2B0A" w:rsidRPr="00191CFE" w:rsidRDefault="00BB2B0A" w:rsidP="00092CC3">
            <w:pPr>
              <w:jc w:val="both"/>
            </w:pPr>
            <w:r w:rsidRPr="00191CFE">
              <w:t>*Idea central.</w:t>
            </w:r>
          </w:p>
          <w:p w:rsidR="00BB2B0A" w:rsidRPr="00191CFE" w:rsidRDefault="00BB2B0A" w:rsidP="00092CC3">
            <w:pPr>
              <w:jc w:val="both"/>
            </w:pPr>
            <w:r w:rsidRPr="00191CFE">
              <w:t>*Información explícita e implícita.</w:t>
            </w:r>
          </w:p>
          <w:p w:rsidR="00BB2B0A" w:rsidRPr="00191CFE" w:rsidRDefault="00BB2B0A" w:rsidP="00092CC3">
            <w:pPr>
              <w:jc w:val="both"/>
            </w:pPr>
            <w:r w:rsidRPr="00191CFE">
              <w:t>*Información relevante de la irrelevante.</w:t>
            </w:r>
          </w:p>
          <w:p w:rsidR="00BB2B0A" w:rsidRPr="00191CFE" w:rsidRDefault="00BB2B0A" w:rsidP="00092CC3">
            <w:pPr>
              <w:jc w:val="both"/>
            </w:pPr>
            <w:r w:rsidRPr="00191CFE">
              <w:t>*Secuencia organizativa textual.</w:t>
            </w:r>
          </w:p>
          <w:p w:rsidR="00BB2B0A" w:rsidRPr="00191CFE" w:rsidRDefault="00BB2B0A" w:rsidP="00092CC3">
            <w:pPr>
              <w:jc w:val="both"/>
            </w:pPr>
            <w:r w:rsidRPr="00191CFE">
              <w:lastRenderedPageBreak/>
              <w:t>*Coherencia.</w:t>
            </w:r>
          </w:p>
          <w:p w:rsidR="00BB2B0A" w:rsidRPr="00191CFE" w:rsidRDefault="00BB2B0A" w:rsidP="00092CC3">
            <w:pPr>
              <w:jc w:val="both"/>
            </w:pPr>
            <w:r w:rsidRPr="00191CFE">
              <w:t>*Cohesión</w:t>
            </w:r>
            <w:r w:rsidR="00FB0046" w:rsidRPr="00191CFE">
              <w:t>)</w:t>
            </w:r>
            <w:r w:rsidRPr="00191CFE">
              <w:t>.</w:t>
            </w:r>
          </w:p>
          <w:p w:rsidR="00BB2B0A" w:rsidRPr="00191CFE" w:rsidRDefault="00BB2B0A" w:rsidP="00092CC3">
            <w:pPr>
              <w:jc w:val="both"/>
              <w:rPr>
                <w:b/>
              </w:rPr>
            </w:pPr>
          </w:p>
          <w:p w:rsidR="00BB2B0A" w:rsidRPr="00191CFE" w:rsidRDefault="00BB2B0A" w:rsidP="009F47AE">
            <w:pPr>
              <w:jc w:val="both"/>
            </w:pPr>
          </w:p>
        </w:tc>
        <w:tc>
          <w:tcPr>
            <w:tcW w:w="720" w:type="pct"/>
          </w:tcPr>
          <w:p w:rsidR="00BB2B0A" w:rsidRPr="00191CFE" w:rsidRDefault="00BB2B0A" w:rsidP="00BB2B0A"/>
          <w:p w:rsidR="00BB2B0A" w:rsidRPr="00191CFE" w:rsidRDefault="00BB2B0A" w:rsidP="00587D3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91CFE">
              <w:rPr>
                <w:rFonts w:cs="Arial"/>
                <w:color w:val="BF8F00" w:themeColor="accent4" w:themeShade="BF"/>
              </w:rPr>
              <w:t>Selecciona  técnicas de comprensión oral</w:t>
            </w:r>
            <w:r w:rsidR="00216AE3" w:rsidRPr="00191CFE">
              <w:rPr>
                <w:rFonts w:cs="Arial"/>
                <w:color w:val="BF8F00" w:themeColor="accent4" w:themeShade="BF"/>
              </w:rPr>
              <w:t xml:space="preserve"> para utilizarlas con propiedad</w:t>
            </w:r>
            <w:r w:rsidRPr="00191CFE">
              <w:rPr>
                <w:rFonts w:cs="Arial"/>
                <w:color w:val="BF8F00" w:themeColor="accent4" w:themeShade="BF"/>
              </w:rPr>
              <w:t>.</w:t>
            </w:r>
          </w:p>
          <w:p w:rsidR="00BB2B0A" w:rsidRPr="00191CFE" w:rsidRDefault="00BB2B0A" w:rsidP="00587D3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BB2B0A" w:rsidRPr="00191CFE" w:rsidRDefault="00FE1EB3" w:rsidP="00587D3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91CFE">
              <w:rPr>
                <w:rFonts w:cs="Arial"/>
                <w:color w:val="BF8F00" w:themeColor="accent4" w:themeShade="BF"/>
              </w:rPr>
              <w:t>Formula exposiciones, d</w:t>
            </w:r>
            <w:r w:rsidR="00BB2B0A" w:rsidRPr="00191CFE">
              <w:rPr>
                <w:rFonts w:cs="Arial"/>
                <w:color w:val="BF8F00" w:themeColor="accent4" w:themeShade="BF"/>
              </w:rPr>
              <w:t>ramatizaciones, videos, audios, debates…</w:t>
            </w:r>
          </w:p>
          <w:p w:rsidR="00BB2B0A" w:rsidRPr="00191CFE" w:rsidRDefault="00BB2B0A" w:rsidP="00587D3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BB2B0A" w:rsidRPr="00191CFE" w:rsidRDefault="00BB2B0A" w:rsidP="00587D3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91CFE">
              <w:rPr>
                <w:rFonts w:cs="Arial"/>
                <w:color w:val="BF8F00" w:themeColor="accent4" w:themeShade="BF"/>
              </w:rPr>
              <w:t>Demuestra la relación entre el tema y el contenido.</w:t>
            </w:r>
          </w:p>
          <w:p w:rsidR="00BB2B0A" w:rsidRPr="00191CFE" w:rsidRDefault="00BB2B0A" w:rsidP="00587D3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BB2B0A" w:rsidRPr="00191CFE" w:rsidRDefault="00BB2B0A" w:rsidP="00092CC3">
            <w:pPr>
              <w:jc w:val="center"/>
              <w:rPr>
                <w:rFonts w:cs="Arial"/>
                <w:color w:val="000000" w:themeColor="text1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Pr="00191CFE" w:rsidRDefault="00BB2B0A" w:rsidP="00092CC3">
            <w:pPr>
              <w:jc w:val="center"/>
              <w:rPr>
                <w:color w:val="FF0000"/>
              </w:rPr>
            </w:pPr>
          </w:p>
          <w:p w:rsidR="00BB2B0A" w:rsidRDefault="00BB2B0A" w:rsidP="0075671B">
            <w:pPr>
              <w:rPr>
                <w:color w:val="FF0000"/>
              </w:rPr>
            </w:pPr>
          </w:p>
          <w:p w:rsidR="00147CC1" w:rsidRDefault="00147CC1" w:rsidP="0075671B">
            <w:pPr>
              <w:rPr>
                <w:color w:val="FF0000"/>
              </w:rPr>
            </w:pPr>
          </w:p>
          <w:p w:rsidR="00147CC1" w:rsidRPr="00191CFE" w:rsidRDefault="00147CC1" w:rsidP="0075671B">
            <w:pPr>
              <w:rPr>
                <w:color w:val="FF0000"/>
              </w:rPr>
            </w:pP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  <w:r w:rsidRPr="00191CFE">
              <w:rPr>
                <w:color w:val="C45911" w:themeColor="accent2" w:themeShade="BF"/>
              </w:rPr>
              <w:t>Utiliza un lenguaje adecuado</w:t>
            </w:r>
            <w:r w:rsidR="007456B2" w:rsidRPr="00191CFE">
              <w:rPr>
                <w:color w:val="C45911" w:themeColor="accent2" w:themeShade="BF"/>
              </w:rPr>
              <w:t xml:space="preserve"> en forma oral y escrita</w:t>
            </w:r>
            <w:r w:rsidRPr="00191CFE">
              <w:rPr>
                <w:color w:val="C45911" w:themeColor="accent2" w:themeShade="BF"/>
              </w:rPr>
              <w:t>.</w:t>
            </w: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</w:p>
          <w:p w:rsidR="00FB0046" w:rsidRPr="00191CFE" w:rsidRDefault="00FB0046" w:rsidP="00587D34">
            <w:pPr>
              <w:jc w:val="center"/>
              <w:rPr>
                <w:color w:val="C45911" w:themeColor="accent2" w:themeShade="BF"/>
              </w:rPr>
            </w:pP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</w:p>
          <w:p w:rsidR="00BB2B0A" w:rsidRPr="00191CFE" w:rsidRDefault="00BB2B0A" w:rsidP="00587D34">
            <w:pPr>
              <w:jc w:val="center"/>
              <w:rPr>
                <w:color w:val="C45911" w:themeColor="accent2" w:themeShade="BF"/>
              </w:rPr>
            </w:pPr>
            <w:r w:rsidRPr="00191CFE">
              <w:rPr>
                <w:color w:val="C45911" w:themeColor="accent2" w:themeShade="BF"/>
              </w:rPr>
              <w:t>Utiliza temas de interés escolar</w:t>
            </w:r>
            <w:r w:rsidR="007456B2" w:rsidRPr="00191CFE">
              <w:rPr>
                <w:color w:val="C45911" w:themeColor="accent2" w:themeShade="BF"/>
              </w:rPr>
              <w:t xml:space="preserve"> en la producción oral</w:t>
            </w:r>
            <w:r w:rsidRPr="00191CFE">
              <w:rPr>
                <w:color w:val="C45911" w:themeColor="accent2" w:themeShade="BF"/>
              </w:rPr>
              <w:t>.</w:t>
            </w:r>
          </w:p>
          <w:p w:rsidR="00BB2B0A" w:rsidRPr="00191CFE" w:rsidRDefault="00BB2B0A" w:rsidP="0032014B"/>
          <w:p w:rsidR="00BB2B0A" w:rsidRPr="00191CFE" w:rsidRDefault="00BB2B0A" w:rsidP="0032014B"/>
          <w:p w:rsidR="00BB2B0A" w:rsidRPr="00191CFE" w:rsidRDefault="00BB2B0A" w:rsidP="0032014B"/>
          <w:p w:rsidR="00BB2B0A" w:rsidRPr="00191CFE" w:rsidRDefault="00BB2B0A" w:rsidP="0032014B"/>
          <w:p w:rsidR="00BB2B0A" w:rsidRPr="00191CFE" w:rsidRDefault="00BB2B0A" w:rsidP="0032014B"/>
          <w:p w:rsidR="00BB2B0A" w:rsidRPr="00191CFE" w:rsidRDefault="00BB2B0A" w:rsidP="0032014B"/>
          <w:p w:rsidR="00BB2B0A" w:rsidRPr="00191CFE" w:rsidRDefault="00BB2B0A" w:rsidP="0032014B"/>
          <w:p w:rsidR="00BB2B0A" w:rsidRPr="00191CFE" w:rsidRDefault="00BB2B0A" w:rsidP="0032014B"/>
        </w:tc>
        <w:tc>
          <w:tcPr>
            <w:tcW w:w="2494" w:type="pct"/>
            <w:gridSpan w:val="2"/>
          </w:tcPr>
          <w:p w:rsidR="00BB2B0A" w:rsidRPr="00191CFE" w:rsidRDefault="00BB2B0A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BB2B0A" w:rsidRPr="00191CFE" w:rsidRDefault="00BB2B0A" w:rsidP="00894F5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BB2B0A" w:rsidRPr="00191CFE" w:rsidRDefault="00BB2B0A" w:rsidP="00092CC3">
            <w:pPr>
              <w:jc w:val="both"/>
              <w:rPr>
                <w:b/>
              </w:rPr>
            </w:pPr>
          </w:p>
        </w:tc>
      </w:tr>
    </w:tbl>
    <w:p w:rsidR="006969B6" w:rsidRPr="00191CFE" w:rsidRDefault="006969B6" w:rsidP="00FE1EB3">
      <w:pPr>
        <w:spacing w:after="0"/>
        <w:rPr>
          <w:b/>
        </w:rPr>
      </w:pPr>
    </w:p>
    <w:p w:rsidR="00E37B9E" w:rsidRPr="003053CA" w:rsidRDefault="00E37B9E" w:rsidP="00E37B9E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FB0046" w:rsidRPr="00191CFE" w:rsidRDefault="00FB0046" w:rsidP="00FE1EB3">
      <w:pPr>
        <w:spacing w:after="0"/>
        <w:rPr>
          <w:b/>
        </w:rPr>
      </w:pPr>
    </w:p>
    <w:p w:rsidR="00440F4E" w:rsidRPr="00191CFE" w:rsidRDefault="00463D8D" w:rsidP="00463D8D">
      <w:pPr>
        <w:spacing w:after="0"/>
        <w:jc w:val="center"/>
        <w:rPr>
          <w:b/>
        </w:rPr>
      </w:pPr>
      <w:r w:rsidRPr="00191CFE">
        <w:rPr>
          <w:b/>
        </w:rPr>
        <w:t xml:space="preserve">Instrumento </w:t>
      </w:r>
      <w:r w:rsidR="00515DD7" w:rsidRPr="00191CFE">
        <w:rPr>
          <w:b/>
        </w:rPr>
        <w:t>de proceso</w:t>
      </w:r>
    </w:p>
    <w:p w:rsidR="008D6BDC" w:rsidRPr="00191CFE" w:rsidRDefault="008D6BDC" w:rsidP="00463D8D">
      <w:pPr>
        <w:spacing w:after="0"/>
        <w:jc w:val="both"/>
      </w:pPr>
    </w:p>
    <w:tbl>
      <w:tblPr>
        <w:tblStyle w:val="Tablaconcuadrcula"/>
        <w:tblW w:w="4891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501"/>
        <w:gridCol w:w="2501"/>
        <w:gridCol w:w="2493"/>
      </w:tblGrid>
      <w:tr w:rsidR="00E96015" w:rsidRPr="00191CFE" w:rsidTr="00F14857">
        <w:trPr>
          <w:jc w:val="center"/>
        </w:trPr>
        <w:tc>
          <w:tcPr>
            <w:tcW w:w="1051" w:type="pct"/>
            <w:vAlign w:val="center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color w:val="000000" w:themeColor="text1"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051" w:type="pct"/>
          </w:tcPr>
          <w:p w:rsidR="00E96015" w:rsidRPr="00191CFE" w:rsidRDefault="00E96015" w:rsidP="00E96015">
            <w:pPr>
              <w:jc w:val="center"/>
              <w:rPr>
                <w:b/>
              </w:rPr>
            </w:pPr>
            <w:r w:rsidRPr="00191CFE">
              <w:rPr>
                <w:b/>
              </w:rPr>
              <w:t>Indicadores del aprendizaje esperado</w:t>
            </w:r>
          </w:p>
        </w:tc>
        <w:tc>
          <w:tcPr>
            <w:tcW w:w="967" w:type="pct"/>
          </w:tcPr>
          <w:p w:rsidR="00E96015" w:rsidRPr="00191CFE" w:rsidRDefault="00E96015" w:rsidP="00E96015">
            <w:pPr>
              <w:jc w:val="center"/>
              <w:rPr>
                <w:b/>
              </w:rPr>
            </w:pPr>
            <w:r w:rsidRPr="00191CFE">
              <w:rPr>
                <w:b/>
              </w:rPr>
              <w:t>Inicial</w:t>
            </w:r>
          </w:p>
        </w:tc>
        <w:tc>
          <w:tcPr>
            <w:tcW w:w="967" w:type="pct"/>
          </w:tcPr>
          <w:p w:rsidR="00E96015" w:rsidRPr="00191CFE" w:rsidRDefault="00E96015" w:rsidP="00E96015">
            <w:pPr>
              <w:jc w:val="center"/>
              <w:rPr>
                <w:b/>
              </w:rPr>
            </w:pPr>
            <w:r w:rsidRPr="00191CFE">
              <w:rPr>
                <w:b/>
              </w:rPr>
              <w:t>Intermedio</w:t>
            </w:r>
          </w:p>
        </w:tc>
        <w:tc>
          <w:tcPr>
            <w:tcW w:w="964" w:type="pct"/>
          </w:tcPr>
          <w:p w:rsidR="00E96015" w:rsidRPr="00191CFE" w:rsidRDefault="00E96015" w:rsidP="00E96015">
            <w:pPr>
              <w:jc w:val="center"/>
              <w:rPr>
                <w:b/>
              </w:rPr>
            </w:pPr>
            <w:r w:rsidRPr="00191CFE">
              <w:rPr>
                <w:b/>
              </w:rPr>
              <w:t>Avanzado</w:t>
            </w:r>
          </w:p>
        </w:tc>
      </w:tr>
      <w:tr w:rsidR="00E96015" w:rsidRPr="00191CFE" w:rsidTr="00E96015">
        <w:trPr>
          <w:trHeight w:val="1022"/>
          <w:jc w:val="center"/>
        </w:trPr>
        <w:tc>
          <w:tcPr>
            <w:tcW w:w="1051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051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BF8F00" w:themeColor="accent4" w:themeShade="BF"/>
              </w:rPr>
            </w:pPr>
          </w:p>
          <w:p w:rsidR="00E96015" w:rsidRPr="00191CFE" w:rsidRDefault="00E96015" w:rsidP="00E96015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91CFE">
              <w:rPr>
                <w:color w:val="BF8F00" w:themeColor="accent4" w:themeShade="BF"/>
              </w:rPr>
              <w:t>Selecciona</w:t>
            </w:r>
            <w:r w:rsidRPr="00191CFE">
              <w:rPr>
                <w:rFonts w:cs="Arial"/>
                <w:color w:val="BF8F00" w:themeColor="accent4" w:themeShade="BF"/>
              </w:rPr>
              <w:t xml:space="preserve"> técnicas de comprensión oral para utilizarlas con propiedad.</w:t>
            </w:r>
          </w:p>
          <w:p w:rsidR="00E96015" w:rsidRPr="00191CFE" w:rsidRDefault="00E96015" w:rsidP="00E96015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E96015" w:rsidRPr="00191CFE" w:rsidRDefault="00E96015" w:rsidP="00E9601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967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sz w:val="22"/>
                <w:szCs w:val="22"/>
              </w:rPr>
              <w:t>Cita técnicas de comprensión oral que puede emplear en sus exposiciones.</w:t>
            </w:r>
          </w:p>
        </w:tc>
        <w:tc>
          <w:tcPr>
            <w:tcW w:w="967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 xml:space="preserve">Diferencia las técnicas de comprensión oral por sus características. </w:t>
            </w:r>
          </w:p>
        </w:tc>
        <w:tc>
          <w:tcPr>
            <w:tcW w:w="964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 xml:space="preserve">Escoge técnicas de comprensión oral para emplearlas en sus exposiciones. </w:t>
            </w:r>
          </w:p>
        </w:tc>
      </w:tr>
      <w:tr w:rsidR="00E96015" w:rsidRPr="00191CFE" w:rsidTr="00E96015">
        <w:trPr>
          <w:trHeight w:val="901"/>
          <w:jc w:val="center"/>
        </w:trPr>
        <w:tc>
          <w:tcPr>
            <w:tcW w:w="1051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051" w:type="pct"/>
            <w:vAlign w:val="center"/>
          </w:tcPr>
          <w:p w:rsidR="00E96015" w:rsidRPr="00191CFE" w:rsidRDefault="00E96015" w:rsidP="00E96015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91CFE">
              <w:rPr>
                <w:color w:val="BF8F00" w:themeColor="accent4" w:themeShade="BF"/>
              </w:rPr>
              <w:t>Formula</w:t>
            </w:r>
            <w:r w:rsidRPr="00191CFE">
              <w:rPr>
                <w:rFonts w:cs="Arial"/>
                <w:color w:val="BF8F00" w:themeColor="accent4" w:themeShade="BF"/>
              </w:rPr>
              <w:t xml:space="preserve"> exposiciones, dramatizaciones, videos, audios, debates…</w:t>
            </w:r>
          </w:p>
          <w:p w:rsidR="00E96015" w:rsidRPr="00191CFE" w:rsidRDefault="00E96015" w:rsidP="00E9601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967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que pueden ser incluidas en  las exposiciones, dramatizaciones, videos, audios, debates…</w:t>
            </w:r>
          </w:p>
        </w:tc>
        <w:tc>
          <w:tcPr>
            <w:tcW w:w="967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Asocia las ideas que pueden ser incluidas en las exposiciones, dramatizaciones, videos, audios y debates, con la técnica de expresión oral  que selecciona.</w:t>
            </w:r>
          </w:p>
        </w:tc>
        <w:tc>
          <w:tcPr>
            <w:tcW w:w="964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Precisa las ideas relevantes que usará  en la técnica oral escogida y su relación con el tema.</w:t>
            </w:r>
          </w:p>
        </w:tc>
      </w:tr>
      <w:tr w:rsidR="00E96015" w:rsidRPr="00191CFE" w:rsidTr="00E96015">
        <w:trPr>
          <w:trHeight w:val="857"/>
          <w:jc w:val="center"/>
        </w:trPr>
        <w:tc>
          <w:tcPr>
            <w:tcW w:w="1051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91C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051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BF8F00" w:themeColor="accent4" w:themeShade="BF"/>
              </w:rPr>
            </w:pPr>
          </w:p>
          <w:p w:rsidR="00E96015" w:rsidRPr="00191CFE" w:rsidRDefault="00E96015" w:rsidP="00E96015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91CFE">
              <w:rPr>
                <w:color w:val="BF8F00" w:themeColor="accent4" w:themeShade="BF"/>
              </w:rPr>
              <w:t xml:space="preserve">Demuestra </w:t>
            </w:r>
            <w:r w:rsidRPr="00191CFE">
              <w:rPr>
                <w:rFonts w:cs="Arial"/>
                <w:color w:val="BF8F00" w:themeColor="accent4" w:themeShade="BF"/>
              </w:rPr>
              <w:t>la relación entre el tema y el contenido.</w:t>
            </w:r>
          </w:p>
          <w:p w:rsidR="00E96015" w:rsidRPr="00191CFE" w:rsidRDefault="00E96015" w:rsidP="00E96015">
            <w:pPr>
              <w:rPr>
                <w:color w:val="BF8F00" w:themeColor="accent4" w:themeShade="BF"/>
              </w:rPr>
            </w:pPr>
          </w:p>
        </w:tc>
        <w:tc>
          <w:tcPr>
            <w:tcW w:w="967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con ejemplos simples la relación entre el tema y el contenido.</w:t>
            </w:r>
          </w:p>
        </w:tc>
        <w:tc>
          <w:tcPr>
            <w:tcW w:w="967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Brinda información relevante e irrelevante entre el tema y el contenido.</w:t>
            </w:r>
          </w:p>
        </w:tc>
        <w:tc>
          <w:tcPr>
            <w:tcW w:w="964" w:type="pct"/>
            <w:vAlign w:val="center"/>
          </w:tcPr>
          <w:p w:rsidR="00E96015" w:rsidRPr="00191CFE" w:rsidRDefault="00E96015" w:rsidP="00E96015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Especifica puntualmente la información relevante presente en un texto.</w:t>
            </w:r>
          </w:p>
        </w:tc>
      </w:tr>
      <w:tr w:rsidR="00E96015" w:rsidRPr="00191CFE" w:rsidTr="00E96015">
        <w:trPr>
          <w:trHeight w:val="1026"/>
          <w:jc w:val="center"/>
        </w:trPr>
        <w:tc>
          <w:tcPr>
            <w:tcW w:w="1051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Comprensión</w:t>
            </w:r>
          </w:p>
          <w:p w:rsidR="00E96015" w:rsidRPr="00191CFE" w:rsidRDefault="00E96015" w:rsidP="000E05E7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051" w:type="pct"/>
            <w:vAlign w:val="center"/>
          </w:tcPr>
          <w:p w:rsidR="00E96015" w:rsidRPr="00191CFE" w:rsidRDefault="00E96015" w:rsidP="000E05E7">
            <w:pPr>
              <w:jc w:val="center"/>
              <w:rPr>
                <w:color w:val="C45911" w:themeColor="accent2" w:themeShade="BF"/>
              </w:rPr>
            </w:pPr>
            <w:r w:rsidRPr="00191CFE">
              <w:rPr>
                <w:color w:val="C45911" w:themeColor="accent2" w:themeShade="BF"/>
              </w:rPr>
              <w:t>Utiliza un lenguaje adecuado en forma oral y escrita.</w:t>
            </w:r>
          </w:p>
        </w:tc>
        <w:tc>
          <w:tcPr>
            <w:tcW w:w="967" w:type="pct"/>
          </w:tcPr>
          <w:p w:rsidR="00E96015" w:rsidRPr="00191CFE" w:rsidRDefault="00E96015" w:rsidP="000E05E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Anota, en forma oral y escrita, información explícita e implícita.</w:t>
            </w:r>
          </w:p>
        </w:tc>
        <w:tc>
          <w:tcPr>
            <w:tcW w:w="967" w:type="pct"/>
            <w:vAlign w:val="center"/>
          </w:tcPr>
          <w:p w:rsidR="00E96015" w:rsidRPr="00191CFE" w:rsidRDefault="00E96015" w:rsidP="000E05E7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Distingue ideas centrales y complementarias en textos orales y escritos.</w:t>
            </w:r>
          </w:p>
        </w:tc>
        <w:tc>
          <w:tcPr>
            <w:tcW w:w="964" w:type="pct"/>
            <w:vAlign w:val="center"/>
          </w:tcPr>
          <w:p w:rsidR="00E96015" w:rsidRPr="00191CFE" w:rsidRDefault="00E96015" w:rsidP="000E05E7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Emplea las ideas con un vocabulario adecuado en el mensaje oral y/o escrito.</w:t>
            </w:r>
          </w:p>
        </w:tc>
      </w:tr>
      <w:tr w:rsidR="00E96015" w:rsidRPr="00191CFE" w:rsidTr="00E96015">
        <w:trPr>
          <w:trHeight w:val="857"/>
          <w:jc w:val="center"/>
        </w:trPr>
        <w:tc>
          <w:tcPr>
            <w:tcW w:w="1051" w:type="pct"/>
          </w:tcPr>
          <w:p w:rsidR="00E96015" w:rsidRPr="00191CFE" w:rsidRDefault="00E96015" w:rsidP="00E9601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lastRenderedPageBreak/>
              <w:t>Trasmisión efectiva</w:t>
            </w:r>
          </w:p>
          <w:p w:rsidR="00E96015" w:rsidRPr="00191CFE" w:rsidRDefault="00E96015" w:rsidP="001A6FBF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051" w:type="pct"/>
            <w:vAlign w:val="center"/>
          </w:tcPr>
          <w:p w:rsidR="00E96015" w:rsidRPr="00191CFE" w:rsidRDefault="00E96015" w:rsidP="001A6FBF">
            <w:pPr>
              <w:jc w:val="center"/>
              <w:rPr>
                <w:color w:val="C45911" w:themeColor="accent2" w:themeShade="BF"/>
              </w:rPr>
            </w:pPr>
            <w:r w:rsidRPr="00191CFE">
              <w:rPr>
                <w:color w:val="C45911" w:themeColor="accent2" w:themeShade="BF"/>
              </w:rPr>
              <w:t>Utiliza temas de interés escolar en la producción oral.</w:t>
            </w:r>
          </w:p>
          <w:p w:rsidR="00E96015" w:rsidRPr="00191CFE" w:rsidRDefault="00E96015" w:rsidP="00465248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967" w:type="pct"/>
          </w:tcPr>
          <w:p w:rsidR="00E96015" w:rsidRPr="00191CFE" w:rsidRDefault="00E96015" w:rsidP="00AD1E3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91CF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la secuencia organizativa evidenciada en el mensaje oral.</w:t>
            </w:r>
          </w:p>
        </w:tc>
        <w:tc>
          <w:tcPr>
            <w:tcW w:w="967" w:type="pct"/>
            <w:vAlign w:val="center"/>
          </w:tcPr>
          <w:p w:rsidR="00E96015" w:rsidRPr="00191CFE" w:rsidRDefault="00E96015" w:rsidP="00AD1E37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 xml:space="preserve">Relata, en forma oral, el tema principal de manera coherente. </w:t>
            </w:r>
          </w:p>
        </w:tc>
        <w:tc>
          <w:tcPr>
            <w:tcW w:w="964" w:type="pct"/>
            <w:vAlign w:val="center"/>
          </w:tcPr>
          <w:p w:rsidR="00E96015" w:rsidRPr="00191CFE" w:rsidRDefault="00E96015" w:rsidP="00AD1E37">
            <w:pPr>
              <w:jc w:val="center"/>
              <w:rPr>
                <w:color w:val="000000" w:themeColor="text1"/>
              </w:rPr>
            </w:pPr>
            <w:r w:rsidRPr="00191CFE">
              <w:rPr>
                <w:color w:val="000000" w:themeColor="text1"/>
              </w:rPr>
              <w:t>Emplea, con cohesión, un mensaje oral de interés escolar.</w:t>
            </w:r>
          </w:p>
        </w:tc>
      </w:tr>
    </w:tbl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34AA4" w:rsidRDefault="00134AA4" w:rsidP="00134AA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34AA4" w:rsidRDefault="00134AA4" w:rsidP="00134A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34AA4" w:rsidRDefault="00134AA4" w:rsidP="00134AA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34AA4" w:rsidRDefault="00134AA4" w:rsidP="00134AA4">
      <w:pPr>
        <w:pStyle w:val="Sinespaciado"/>
        <w:rPr>
          <w:rFonts w:ascii="Cambria" w:eastAsia="Calibri" w:hAnsi="Cambria" w:cs="Arial"/>
          <w:lang w:eastAsia="en-US"/>
        </w:rPr>
      </w:pPr>
    </w:p>
    <w:p w:rsidR="00134AA4" w:rsidRDefault="00134AA4" w:rsidP="00134AA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34AA4" w:rsidRDefault="00134AA4" w:rsidP="00134AA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34AA4" w:rsidRDefault="00134AA4" w:rsidP="00134AA4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34AA4" w:rsidRDefault="00134AA4" w:rsidP="00134AA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34AA4" w:rsidRDefault="00134AA4" w:rsidP="00134AA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34AA4" w:rsidRDefault="00134AA4" w:rsidP="00134AA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34AA4" w:rsidRDefault="00134AA4" w:rsidP="00134AA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34AA4" w:rsidRDefault="00134AA4" w:rsidP="00134AA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34AA4" w:rsidRDefault="00134AA4" w:rsidP="00134AA4">
      <w:pPr>
        <w:rPr>
          <w:rFonts w:ascii="Calibri" w:eastAsia="Calibri" w:hAnsi="Calibri" w:cs="Times New Roman"/>
        </w:rPr>
      </w:pPr>
      <w:r>
        <w:t xml:space="preserve"> </w:t>
      </w:r>
    </w:p>
    <w:p w:rsidR="00134AA4" w:rsidRDefault="00134AA4" w:rsidP="00134AA4">
      <w:pPr>
        <w:rPr>
          <w:b/>
        </w:rPr>
      </w:pPr>
      <w:r>
        <w:rPr>
          <w:b/>
        </w:rPr>
        <w:t>Docentes:</w:t>
      </w:r>
    </w:p>
    <w:p w:rsidR="00134AA4" w:rsidRDefault="00134AA4" w:rsidP="00134AA4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34AA4" w:rsidRDefault="00134AA4" w:rsidP="00134AA4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34AA4" w:rsidRDefault="00134AA4" w:rsidP="00134AA4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34AA4" w:rsidRDefault="00134AA4" w:rsidP="00134AA4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34AA4" w:rsidRDefault="00134AA4" w:rsidP="00134AA4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34AA4" w:rsidRDefault="00134AA4" w:rsidP="00134AA4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34AA4" w:rsidRDefault="00134AA4" w:rsidP="00134AA4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D6BDC" w:rsidRPr="00191CFE" w:rsidRDefault="008D6BDC" w:rsidP="00AD1E37">
      <w:pPr>
        <w:tabs>
          <w:tab w:val="left" w:pos="5235"/>
        </w:tabs>
      </w:pPr>
    </w:p>
    <w:sectPr w:rsidR="008D6BDC" w:rsidRPr="00191CFE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F75" w:rsidRDefault="00034F75" w:rsidP="00960903">
      <w:pPr>
        <w:spacing w:after="0" w:line="240" w:lineRule="auto"/>
      </w:pPr>
      <w:r>
        <w:separator/>
      </w:r>
    </w:p>
  </w:endnote>
  <w:endnote w:type="continuationSeparator" w:id="0">
    <w:p w:rsidR="00034F75" w:rsidRDefault="00034F75" w:rsidP="0096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21" w:rsidRDefault="00FA522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21" w:rsidRDefault="00FA5221" w:rsidP="00FA5221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A5221" w:rsidRDefault="00FA522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21" w:rsidRDefault="00FA522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F75" w:rsidRDefault="00034F75" w:rsidP="00960903">
      <w:pPr>
        <w:spacing w:after="0" w:line="240" w:lineRule="auto"/>
      </w:pPr>
      <w:r>
        <w:separator/>
      </w:r>
    </w:p>
  </w:footnote>
  <w:footnote w:type="continuationSeparator" w:id="0">
    <w:p w:rsidR="00034F75" w:rsidRDefault="00034F75" w:rsidP="00960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21" w:rsidRDefault="00FA522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21" w:rsidRDefault="00FA522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21" w:rsidRDefault="00FA522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1C5B"/>
    <w:multiLevelType w:val="hybridMultilevel"/>
    <w:tmpl w:val="FF2CD722"/>
    <w:lvl w:ilvl="0" w:tplc="B80C36F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27B73"/>
    <w:rsid w:val="00032F88"/>
    <w:rsid w:val="00034F75"/>
    <w:rsid w:val="00045FD7"/>
    <w:rsid w:val="00054F52"/>
    <w:rsid w:val="000555EF"/>
    <w:rsid w:val="0006020E"/>
    <w:rsid w:val="000645CD"/>
    <w:rsid w:val="000805A7"/>
    <w:rsid w:val="00090C12"/>
    <w:rsid w:val="00092CC3"/>
    <w:rsid w:val="000A1C7A"/>
    <w:rsid w:val="000C24A6"/>
    <w:rsid w:val="000D290A"/>
    <w:rsid w:val="000E05E7"/>
    <w:rsid w:val="0010655E"/>
    <w:rsid w:val="0012070A"/>
    <w:rsid w:val="00125F91"/>
    <w:rsid w:val="00134AA4"/>
    <w:rsid w:val="00135AC3"/>
    <w:rsid w:val="001405A9"/>
    <w:rsid w:val="00147CC1"/>
    <w:rsid w:val="00166D1D"/>
    <w:rsid w:val="00176222"/>
    <w:rsid w:val="00191CFE"/>
    <w:rsid w:val="00196279"/>
    <w:rsid w:val="001A58CE"/>
    <w:rsid w:val="001A6FBF"/>
    <w:rsid w:val="001B7469"/>
    <w:rsid w:val="001C4DD4"/>
    <w:rsid w:val="001C532E"/>
    <w:rsid w:val="001D6384"/>
    <w:rsid w:val="00206BDB"/>
    <w:rsid w:val="00207C4A"/>
    <w:rsid w:val="00216AE3"/>
    <w:rsid w:val="00217429"/>
    <w:rsid w:val="0021745C"/>
    <w:rsid w:val="0022131E"/>
    <w:rsid w:val="00236FD0"/>
    <w:rsid w:val="00240A41"/>
    <w:rsid w:val="002421FC"/>
    <w:rsid w:val="00242B86"/>
    <w:rsid w:val="002446CA"/>
    <w:rsid w:val="00247FCA"/>
    <w:rsid w:val="00251A94"/>
    <w:rsid w:val="00273E23"/>
    <w:rsid w:val="00276758"/>
    <w:rsid w:val="002B0D21"/>
    <w:rsid w:val="002C0557"/>
    <w:rsid w:val="002C5FEA"/>
    <w:rsid w:val="002C6C6D"/>
    <w:rsid w:val="002D6BFD"/>
    <w:rsid w:val="002E0CE6"/>
    <w:rsid w:val="002E3133"/>
    <w:rsid w:val="002E69E6"/>
    <w:rsid w:val="002F7221"/>
    <w:rsid w:val="0032014B"/>
    <w:rsid w:val="00326213"/>
    <w:rsid w:val="00331C22"/>
    <w:rsid w:val="00366BBE"/>
    <w:rsid w:val="00374ABB"/>
    <w:rsid w:val="003A0FBA"/>
    <w:rsid w:val="003B5399"/>
    <w:rsid w:val="003C7287"/>
    <w:rsid w:val="003E42A4"/>
    <w:rsid w:val="00432041"/>
    <w:rsid w:val="004333FA"/>
    <w:rsid w:val="00440F4E"/>
    <w:rsid w:val="004516A4"/>
    <w:rsid w:val="0045470C"/>
    <w:rsid w:val="00463D8D"/>
    <w:rsid w:val="00465248"/>
    <w:rsid w:val="004904A4"/>
    <w:rsid w:val="004A5845"/>
    <w:rsid w:val="004A62BF"/>
    <w:rsid w:val="004B49F7"/>
    <w:rsid w:val="004C7C12"/>
    <w:rsid w:val="004D0A8A"/>
    <w:rsid w:val="004E21B4"/>
    <w:rsid w:val="004E277C"/>
    <w:rsid w:val="004F3140"/>
    <w:rsid w:val="00505EBE"/>
    <w:rsid w:val="00506803"/>
    <w:rsid w:val="00512FD3"/>
    <w:rsid w:val="00515DD7"/>
    <w:rsid w:val="005523C9"/>
    <w:rsid w:val="005527D1"/>
    <w:rsid w:val="00580965"/>
    <w:rsid w:val="005846F7"/>
    <w:rsid w:val="00584F44"/>
    <w:rsid w:val="00587D34"/>
    <w:rsid w:val="005918AA"/>
    <w:rsid w:val="005A3B21"/>
    <w:rsid w:val="005B7ECE"/>
    <w:rsid w:val="005D19AC"/>
    <w:rsid w:val="005E6632"/>
    <w:rsid w:val="005F2004"/>
    <w:rsid w:val="00604894"/>
    <w:rsid w:val="00617A81"/>
    <w:rsid w:val="006246F0"/>
    <w:rsid w:val="00635737"/>
    <w:rsid w:val="00641019"/>
    <w:rsid w:val="00657491"/>
    <w:rsid w:val="006969B6"/>
    <w:rsid w:val="006A5783"/>
    <w:rsid w:val="006C6800"/>
    <w:rsid w:val="006D72CB"/>
    <w:rsid w:val="006D7F3D"/>
    <w:rsid w:val="006F0B36"/>
    <w:rsid w:val="006F4586"/>
    <w:rsid w:val="006F788B"/>
    <w:rsid w:val="0070167A"/>
    <w:rsid w:val="0071083F"/>
    <w:rsid w:val="0071690E"/>
    <w:rsid w:val="00743CBF"/>
    <w:rsid w:val="007456B2"/>
    <w:rsid w:val="0075671B"/>
    <w:rsid w:val="00764A05"/>
    <w:rsid w:val="0077039A"/>
    <w:rsid w:val="00773688"/>
    <w:rsid w:val="00773780"/>
    <w:rsid w:val="00780B51"/>
    <w:rsid w:val="007911C7"/>
    <w:rsid w:val="007931E1"/>
    <w:rsid w:val="007963F9"/>
    <w:rsid w:val="007A2036"/>
    <w:rsid w:val="007B6AC3"/>
    <w:rsid w:val="007C5DED"/>
    <w:rsid w:val="007E30DA"/>
    <w:rsid w:val="00801CB7"/>
    <w:rsid w:val="00845913"/>
    <w:rsid w:val="008536BE"/>
    <w:rsid w:val="008545C3"/>
    <w:rsid w:val="008617C2"/>
    <w:rsid w:val="008636DF"/>
    <w:rsid w:val="00876809"/>
    <w:rsid w:val="00893753"/>
    <w:rsid w:val="00894F54"/>
    <w:rsid w:val="00896811"/>
    <w:rsid w:val="008B61CF"/>
    <w:rsid w:val="008B636F"/>
    <w:rsid w:val="008C5F58"/>
    <w:rsid w:val="008C7D7B"/>
    <w:rsid w:val="008D2949"/>
    <w:rsid w:val="008D6BDC"/>
    <w:rsid w:val="008D7917"/>
    <w:rsid w:val="008E7B65"/>
    <w:rsid w:val="008F1F38"/>
    <w:rsid w:val="008F2F63"/>
    <w:rsid w:val="0090278C"/>
    <w:rsid w:val="00904AF3"/>
    <w:rsid w:val="00905636"/>
    <w:rsid w:val="009271D4"/>
    <w:rsid w:val="00945D5E"/>
    <w:rsid w:val="0095439C"/>
    <w:rsid w:val="00954C88"/>
    <w:rsid w:val="009562A4"/>
    <w:rsid w:val="00960903"/>
    <w:rsid w:val="009766B7"/>
    <w:rsid w:val="009A021C"/>
    <w:rsid w:val="009A4D0C"/>
    <w:rsid w:val="009B32A2"/>
    <w:rsid w:val="009D4028"/>
    <w:rsid w:val="009E1738"/>
    <w:rsid w:val="009E42EE"/>
    <w:rsid w:val="009E5CCD"/>
    <w:rsid w:val="009F47AE"/>
    <w:rsid w:val="00A25BC8"/>
    <w:rsid w:val="00A26A19"/>
    <w:rsid w:val="00A32E05"/>
    <w:rsid w:val="00A37033"/>
    <w:rsid w:val="00A43FD7"/>
    <w:rsid w:val="00A44822"/>
    <w:rsid w:val="00A53150"/>
    <w:rsid w:val="00A55053"/>
    <w:rsid w:val="00A556B7"/>
    <w:rsid w:val="00A64FC4"/>
    <w:rsid w:val="00A704E2"/>
    <w:rsid w:val="00A73979"/>
    <w:rsid w:val="00A76585"/>
    <w:rsid w:val="00A8651C"/>
    <w:rsid w:val="00AA2BDA"/>
    <w:rsid w:val="00AD1E37"/>
    <w:rsid w:val="00AD7A51"/>
    <w:rsid w:val="00B2494C"/>
    <w:rsid w:val="00B24DF5"/>
    <w:rsid w:val="00B276DE"/>
    <w:rsid w:val="00B37D86"/>
    <w:rsid w:val="00B759F4"/>
    <w:rsid w:val="00B8440D"/>
    <w:rsid w:val="00B903FF"/>
    <w:rsid w:val="00B96723"/>
    <w:rsid w:val="00BB02D6"/>
    <w:rsid w:val="00BB15C5"/>
    <w:rsid w:val="00BB2B0A"/>
    <w:rsid w:val="00BC2C13"/>
    <w:rsid w:val="00BD481A"/>
    <w:rsid w:val="00BE5B1F"/>
    <w:rsid w:val="00C15B1D"/>
    <w:rsid w:val="00C21B25"/>
    <w:rsid w:val="00C40B6B"/>
    <w:rsid w:val="00C42102"/>
    <w:rsid w:val="00C673A4"/>
    <w:rsid w:val="00C76F13"/>
    <w:rsid w:val="00C84AB5"/>
    <w:rsid w:val="00CC0B3B"/>
    <w:rsid w:val="00CC67A3"/>
    <w:rsid w:val="00CD31B4"/>
    <w:rsid w:val="00CD70FD"/>
    <w:rsid w:val="00CF00CF"/>
    <w:rsid w:val="00CF0A70"/>
    <w:rsid w:val="00CF530B"/>
    <w:rsid w:val="00D00453"/>
    <w:rsid w:val="00D04CC6"/>
    <w:rsid w:val="00D1190C"/>
    <w:rsid w:val="00D31F82"/>
    <w:rsid w:val="00D33F8C"/>
    <w:rsid w:val="00D702B1"/>
    <w:rsid w:val="00D85E49"/>
    <w:rsid w:val="00DA628B"/>
    <w:rsid w:val="00DB16C0"/>
    <w:rsid w:val="00DB6983"/>
    <w:rsid w:val="00E07E5D"/>
    <w:rsid w:val="00E173E3"/>
    <w:rsid w:val="00E31B6A"/>
    <w:rsid w:val="00E34330"/>
    <w:rsid w:val="00E37B9E"/>
    <w:rsid w:val="00E413F7"/>
    <w:rsid w:val="00E5296A"/>
    <w:rsid w:val="00E559CD"/>
    <w:rsid w:val="00E6375F"/>
    <w:rsid w:val="00E7111C"/>
    <w:rsid w:val="00E80F64"/>
    <w:rsid w:val="00E96015"/>
    <w:rsid w:val="00EA0F40"/>
    <w:rsid w:val="00EB493D"/>
    <w:rsid w:val="00EB5EE2"/>
    <w:rsid w:val="00EE1E66"/>
    <w:rsid w:val="00F056C8"/>
    <w:rsid w:val="00F153EB"/>
    <w:rsid w:val="00F3129B"/>
    <w:rsid w:val="00F46704"/>
    <w:rsid w:val="00F51C97"/>
    <w:rsid w:val="00F7027A"/>
    <w:rsid w:val="00F84E9C"/>
    <w:rsid w:val="00F86EF6"/>
    <w:rsid w:val="00F956EA"/>
    <w:rsid w:val="00FA0C70"/>
    <w:rsid w:val="00FA5221"/>
    <w:rsid w:val="00FB0046"/>
    <w:rsid w:val="00FE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3129A2-F104-4D17-8B2A-AD1781B2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609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903"/>
  </w:style>
  <w:style w:type="paragraph" w:styleId="Piedepgina">
    <w:name w:val="footer"/>
    <w:basedOn w:val="Normal"/>
    <w:link w:val="PiedepginaCar"/>
    <w:uiPriority w:val="99"/>
    <w:unhideWhenUsed/>
    <w:rsid w:val="009609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903"/>
  </w:style>
  <w:style w:type="character" w:customStyle="1" w:styleId="SinespaciadoCar">
    <w:name w:val="Sin espaciado Car"/>
    <w:link w:val="Sinespaciado"/>
    <w:uiPriority w:val="1"/>
    <w:locked/>
    <w:rsid w:val="00134AA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90B5-5C91-4C64-9047-CE316312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1500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35</cp:revision>
  <dcterms:created xsi:type="dcterms:W3CDTF">2019-04-09T16:51:00Z</dcterms:created>
  <dcterms:modified xsi:type="dcterms:W3CDTF">2019-12-02T16:35:00Z</dcterms:modified>
</cp:coreProperties>
</file>