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8BC" w:rsidRPr="00B862C4" w:rsidRDefault="000928BC" w:rsidP="000928BC">
      <w:pPr>
        <w:spacing w:after="0" w:line="240" w:lineRule="auto"/>
        <w:jc w:val="center"/>
        <w:rPr>
          <w:b/>
        </w:rPr>
      </w:pPr>
      <w:r w:rsidRPr="00B862C4">
        <w:rPr>
          <w:b/>
        </w:rPr>
        <w:t xml:space="preserve">Lineamientos generales para el planeamiento de </w:t>
      </w:r>
    </w:p>
    <w:p w:rsidR="000928BC" w:rsidRPr="00B862C4" w:rsidRDefault="000928BC" w:rsidP="000928BC">
      <w:pPr>
        <w:spacing w:after="0" w:line="240" w:lineRule="auto"/>
        <w:jc w:val="center"/>
        <w:rPr>
          <w:b/>
        </w:rPr>
      </w:pPr>
      <w:r w:rsidRPr="00B862C4">
        <w:rPr>
          <w:b/>
        </w:rPr>
        <w:t>Español en Primer Ciclo y Segundo Ciclo</w:t>
      </w:r>
    </w:p>
    <w:p w:rsidR="000928BC" w:rsidRPr="00B862C4" w:rsidRDefault="000928BC" w:rsidP="000928BC">
      <w:pPr>
        <w:spacing w:after="0" w:line="240" w:lineRule="auto"/>
        <w:jc w:val="center"/>
      </w:pP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Las actividades de mediación para desarrollar las lecciones de </w:t>
      </w:r>
      <w:proofErr w:type="gramStart"/>
      <w:r w:rsidRPr="00B862C4">
        <w:t>Español</w:t>
      </w:r>
      <w:proofErr w:type="gramEnd"/>
      <w:r w:rsidRPr="00B862C4">
        <w:t xml:space="preserve"> en primaria, se elaboran considerando los tres momentos claves para el abordaje de los contenidos curriculares correspondientes (inicio, desarrollo y cierre).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>Las actividades de mediación se redactan de manera muy detallada y en tercera persona singular.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El contenido curricular actitudinal correspondiente debe evidenciarse en la redacción de alguna de las actividades de mediación y se subraya o escribe con letra negrita o de otro color. 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B862C4">
        <w:t>supracitado</w:t>
      </w:r>
      <w:proofErr w:type="spellEnd"/>
      <w:r w:rsidRPr="00B862C4">
        <w:t xml:space="preserve"> establece la dosificación por nivel y las listas de lecturas recomendadas para ambos ciclos educativos.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B862C4">
        <w:rPr>
          <w:b/>
        </w:rPr>
        <w:t>DVM-AC-0015-01-2017</w:t>
      </w:r>
      <w:r w:rsidRPr="00B862C4">
        <w:t xml:space="preserve">. 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B862C4">
        <w:t>subsitio</w:t>
      </w:r>
      <w:proofErr w:type="spellEnd"/>
      <w:r w:rsidRPr="00B862C4">
        <w:t xml:space="preserve"> Piensa en Arte, al cual se puede ingresar con una contraseña creada por el usuario que cuente con correo oficial del MEP.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>El contenido 4.1 de primer año se debe retomar periódicamente, cada vez que se trabaje el desarrollo o estimulación de la conciencia fonológica.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>Debido a lo expuesto en el punto anterior, y como parte del proceso de lectoescritura, la unidad de articulación se abarca hacia el final del primer año, o bien, al iniciar el segundo año escolar.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928BC" w:rsidRPr="00B862C4" w:rsidRDefault="000928BC" w:rsidP="000928B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B862C4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928BC" w:rsidRPr="00B862C4" w:rsidRDefault="000928BC" w:rsidP="00A86C10">
      <w:pPr>
        <w:jc w:val="center"/>
        <w:rPr>
          <w:b/>
        </w:rPr>
      </w:pPr>
    </w:p>
    <w:p w:rsidR="00A86C10" w:rsidRDefault="00A86C10" w:rsidP="00A86C10">
      <w:pPr>
        <w:jc w:val="center"/>
        <w:rPr>
          <w:b/>
        </w:rPr>
      </w:pPr>
      <w:r w:rsidRPr="00B862C4">
        <w:rPr>
          <w:b/>
        </w:rPr>
        <w:lastRenderedPageBreak/>
        <w:t xml:space="preserve">Plantilla de planeamiento didáctico de Español </w:t>
      </w:r>
    </w:p>
    <w:p w:rsidR="003E37BD" w:rsidRDefault="003E37BD" w:rsidP="003E37BD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A86C10" w:rsidRPr="00B862C4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B862C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A86C10" w:rsidRPr="00B862C4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232D2B"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B862C4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0928BC" w:rsidRPr="00B862C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A86C10" w:rsidRPr="00B862C4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A74C7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A74C7C" w:rsidRPr="00B862C4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232D2B" w:rsidRPr="00B862C4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B862C4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A86C10" w:rsidRDefault="00A86C10" w:rsidP="00A86C10">
      <w:pPr>
        <w:spacing w:after="0"/>
        <w:rPr>
          <w:b/>
        </w:rPr>
      </w:pPr>
    </w:p>
    <w:p w:rsidR="003E37BD" w:rsidRPr="003053CA" w:rsidRDefault="003E37BD" w:rsidP="003E37BD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3E37BD" w:rsidRPr="00B862C4" w:rsidRDefault="003E37BD" w:rsidP="00A86C10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A86C10" w:rsidRPr="00B862C4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B862C4" w:rsidRDefault="00232D2B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</w:t>
            </w:r>
            <w:r w:rsidR="000928BC"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="00A86C10"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B862C4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A86C10" w:rsidRPr="00B862C4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862C4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A86C10" w:rsidRPr="00B862C4" w:rsidRDefault="00A86C10" w:rsidP="0096040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B862C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A86C10" w:rsidRPr="00B862C4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A86C10" w:rsidRPr="00B862C4" w:rsidRDefault="00A86C10" w:rsidP="00960404">
            <w:pPr>
              <w:jc w:val="both"/>
              <w:rPr>
                <w:color w:val="000000" w:themeColor="text1"/>
              </w:rPr>
            </w:pPr>
          </w:p>
        </w:tc>
      </w:tr>
      <w:tr w:rsidR="00A86C10" w:rsidRPr="00B862C4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B862C4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A86C10" w:rsidRPr="00B862C4" w:rsidRDefault="00A86C10" w:rsidP="00960404">
            <w:pPr>
              <w:jc w:val="center"/>
              <w:rPr>
                <w:color w:val="000000" w:themeColor="text1"/>
              </w:rPr>
            </w:pPr>
          </w:p>
        </w:tc>
      </w:tr>
      <w:tr w:rsidR="00A86C10" w:rsidRPr="00B862C4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B862C4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A86C10" w:rsidRPr="00B862C4" w:rsidRDefault="00A86C10" w:rsidP="00960404">
            <w:pPr>
              <w:jc w:val="center"/>
            </w:pPr>
            <w:r w:rsidRPr="00B862C4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A86C10" w:rsidRPr="00B862C4" w:rsidRDefault="00A86C10" w:rsidP="00A86C10">
      <w:pPr>
        <w:spacing w:after="0"/>
        <w:rPr>
          <w:b/>
        </w:rPr>
      </w:pPr>
    </w:p>
    <w:p w:rsidR="00A86C10" w:rsidRPr="00B862C4" w:rsidRDefault="00A86C10" w:rsidP="00A86C1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A86C10" w:rsidRPr="00B862C4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B862C4" w:rsidRDefault="000928BC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A86C10"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B862C4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B862C4" w:rsidRDefault="00A86C10" w:rsidP="00960404">
            <w:pPr>
              <w:jc w:val="center"/>
              <w:rPr>
                <w:b/>
                <w:color w:val="000000" w:themeColor="text1"/>
              </w:rPr>
            </w:pPr>
            <w:r w:rsidRPr="00B862C4">
              <w:rPr>
                <w:b/>
                <w:color w:val="000000" w:themeColor="text1"/>
              </w:rPr>
              <w:t>Comunicación: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A86C10" w:rsidRPr="00B862C4" w:rsidRDefault="00A86C10" w:rsidP="00960404">
            <w:pPr>
              <w:jc w:val="both"/>
              <w:rPr>
                <w:color w:val="000000" w:themeColor="text1"/>
              </w:rPr>
            </w:pPr>
            <w:r w:rsidRPr="00B862C4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A86C10" w:rsidRPr="00B862C4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B862C4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A86C10" w:rsidRPr="00B862C4" w:rsidRDefault="00A86C10" w:rsidP="00960404">
            <w:pPr>
              <w:jc w:val="center"/>
              <w:rPr>
                <w:color w:val="000000" w:themeColor="text1"/>
              </w:rPr>
            </w:pPr>
            <w:r w:rsidRPr="00B862C4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A86C10" w:rsidRPr="00B862C4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B862C4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A86C10" w:rsidRPr="00B862C4" w:rsidRDefault="00A86C10" w:rsidP="00960404">
            <w:pPr>
              <w:jc w:val="center"/>
            </w:pPr>
            <w:r w:rsidRPr="00B862C4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A86C10" w:rsidRPr="00B862C4" w:rsidRDefault="00A86C10" w:rsidP="00A86C10">
      <w:pPr>
        <w:rPr>
          <w:b/>
        </w:rPr>
      </w:pPr>
    </w:p>
    <w:p w:rsidR="003E37BD" w:rsidRPr="003E37BD" w:rsidRDefault="003E37BD" w:rsidP="003E37BD">
      <w:pPr>
        <w:spacing w:line="256" w:lineRule="auto"/>
        <w:rPr>
          <w:b/>
        </w:rPr>
      </w:pPr>
      <w:r w:rsidRPr="003E37BD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178" w:type="dxa"/>
        <w:tblLook w:val="04A0" w:firstRow="1" w:lastRow="0" w:firstColumn="1" w:lastColumn="0" w:noHBand="0" w:noVBand="1"/>
      </w:tblPr>
      <w:tblGrid>
        <w:gridCol w:w="2689"/>
        <w:gridCol w:w="2693"/>
        <w:gridCol w:w="2693"/>
        <w:gridCol w:w="5103"/>
      </w:tblGrid>
      <w:tr w:rsidR="00A86C10" w:rsidRPr="00B862C4" w:rsidTr="000928BC">
        <w:tc>
          <w:tcPr>
            <w:tcW w:w="5382" w:type="dxa"/>
            <w:gridSpan w:val="2"/>
          </w:tcPr>
          <w:p w:rsidR="00A86C10" w:rsidRPr="00B862C4" w:rsidRDefault="00A86C10" w:rsidP="00960404">
            <w:pPr>
              <w:jc w:val="center"/>
              <w:rPr>
                <w:b/>
              </w:rPr>
            </w:pPr>
            <w:r w:rsidRPr="00B862C4">
              <w:rPr>
                <w:b/>
              </w:rPr>
              <w:t>Aprendizaje esperado</w:t>
            </w:r>
          </w:p>
        </w:tc>
        <w:tc>
          <w:tcPr>
            <w:tcW w:w="2693" w:type="dxa"/>
            <w:vMerge w:val="restart"/>
            <w:vAlign w:val="center"/>
          </w:tcPr>
          <w:p w:rsidR="00A86C10" w:rsidRPr="00B862C4" w:rsidRDefault="00A86C10" w:rsidP="00960404">
            <w:pPr>
              <w:jc w:val="center"/>
              <w:rPr>
                <w:b/>
              </w:rPr>
            </w:pPr>
            <w:r w:rsidRPr="00B862C4">
              <w:rPr>
                <w:b/>
              </w:rPr>
              <w:t>Indicadores del aprendizaje esperado</w:t>
            </w:r>
          </w:p>
        </w:tc>
        <w:tc>
          <w:tcPr>
            <w:tcW w:w="5103" w:type="dxa"/>
            <w:vMerge w:val="restart"/>
            <w:vAlign w:val="center"/>
          </w:tcPr>
          <w:p w:rsidR="00A86C10" w:rsidRPr="00B862C4" w:rsidRDefault="000928BC" w:rsidP="00960404">
            <w:pPr>
              <w:jc w:val="center"/>
              <w:rPr>
                <w:b/>
              </w:rPr>
            </w:pPr>
            <w:r w:rsidRPr="00B862C4">
              <w:rPr>
                <w:b/>
              </w:rPr>
              <w:t>Estrategias de mediación</w:t>
            </w:r>
          </w:p>
        </w:tc>
      </w:tr>
      <w:tr w:rsidR="00A86C10" w:rsidRPr="00B862C4" w:rsidTr="000928BC">
        <w:tc>
          <w:tcPr>
            <w:tcW w:w="2689" w:type="dxa"/>
          </w:tcPr>
          <w:p w:rsidR="00A86C10" w:rsidRPr="00B862C4" w:rsidRDefault="00A86C10" w:rsidP="00960404">
            <w:pPr>
              <w:jc w:val="center"/>
              <w:rPr>
                <w:b/>
                <w:highlight w:val="yellow"/>
              </w:rPr>
            </w:pPr>
            <w:r w:rsidRPr="00B862C4">
              <w:rPr>
                <w:b/>
              </w:rPr>
              <w:t>Indicador para el desarrollo de la habilidad</w:t>
            </w:r>
          </w:p>
        </w:tc>
        <w:tc>
          <w:tcPr>
            <w:tcW w:w="2693" w:type="dxa"/>
          </w:tcPr>
          <w:p w:rsidR="00A86C10" w:rsidRPr="00B862C4" w:rsidRDefault="00A86C10" w:rsidP="00960404">
            <w:pPr>
              <w:jc w:val="center"/>
              <w:rPr>
                <w:b/>
              </w:rPr>
            </w:pPr>
            <w:r w:rsidRPr="00B862C4">
              <w:rPr>
                <w:b/>
              </w:rPr>
              <w:t>Componente del programa de estudio</w:t>
            </w:r>
          </w:p>
          <w:p w:rsidR="00A86C10" w:rsidRPr="00B862C4" w:rsidRDefault="00A86C10" w:rsidP="00960404">
            <w:pPr>
              <w:jc w:val="center"/>
              <w:rPr>
                <w:b/>
              </w:rPr>
            </w:pPr>
            <w:r w:rsidRPr="00B862C4">
              <w:rPr>
                <w:b/>
              </w:rPr>
              <w:t>(contenido curricular procedimental)</w:t>
            </w:r>
          </w:p>
        </w:tc>
        <w:tc>
          <w:tcPr>
            <w:tcW w:w="2693" w:type="dxa"/>
            <w:vMerge/>
          </w:tcPr>
          <w:p w:rsidR="00A86C10" w:rsidRPr="00B862C4" w:rsidRDefault="00A86C10" w:rsidP="00960404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:rsidR="00A86C10" w:rsidRPr="00B862C4" w:rsidRDefault="00A86C10" w:rsidP="00960404">
            <w:pPr>
              <w:jc w:val="center"/>
              <w:rPr>
                <w:b/>
              </w:rPr>
            </w:pPr>
          </w:p>
        </w:tc>
      </w:tr>
      <w:tr w:rsidR="00A86C10" w:rsidRPr="00B862C4" w:rsidTr="000928BC">
        <w:trPr>
          <w:trHeight w:val="4247"/>
        </w:trPr>
        <w:tc>
          <w:tcPr>
            <w:tcW w:w="2689" w:type="dxa"/>
            <w:vAlign w:val="center"/>
          </w:tcPr>
          <w:p w:rsidR="00A86C10" w:rsidRPr="00B862C4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B862C4">
              <w:rPr>
                <w:b/>
                <w:color w:val="BF8F00" w:themeColor="accent4" w:themeShade="BF"/>
              </w:rPr>
              <w:t>Aprender a</w:t>
            </w:r>
          </w:p>
          <w:p w:rsidR="00A86C10" w:rsidRPr="00B862C4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B862C4">
              <w:rPr>
                <w:b/>
                <w:color w:val="BF8F00" w:themeColor="accent4" w:themeShade="BF"/>
              </w:rPr>
              <w:t>Aprender: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A86C10" w:rsidRPr="00B862C4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B862C4">
              <w:rPr>
                <w:b/>
                <w:color w:val="BF8F00" w:themeColor="accent4" w:themeShade="BF"/>
              </w:rPr>
              <w:t>Planificación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B862C4">
              <w:rPr>
                <w:b/>
                <w:color w:val="BF8F00" w:themeColor="accent4" w:themeShade="BF"/>
              </w:rPr>
              <w:t>Autorregulación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B862C4">
              <w:rPr>
                <w:b/>
                <w:color w:val="BF8F00" w:themeColor="accent4" w:themeShade="BF"/>
              </w:rPr>
              <w:lastRenderedPageBreak/>
              <w:t>Evaluación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(Determina que lo importante no es la respuesta correcta, sino aumentar la comprensión de algo paso a paso).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B862C4" w:rsidRDefault="00A86C10" w:rsidP="00AA76A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A76A8" w:rsidRPr="00B862C4" w:rsidRDefault="00AA76A8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693" w:type="dxa"/>
          </w:tcPr>
          <w:p w:rsidR="00275AE4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lastRenderedPageBreak/>
              <w:t>16.1. Utilización de las estructuras gramaticales y las normas básicas ortográficas para el enriquecimiento léxico y la competencia comunicativa.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A90411" w:rsidRPr="00B862C4" w:rsidRDefault="00275AE4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(</w:t>
            </w:r>
            <w:r w:rsidR="00A90411" w:rsidRPr="00B862C4">
              <w:rPr>
                <w:rFonts w:cs="MyriadPro-Regular"/>
              </w:rPr>
              <w:t>16. Producciones textuales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orales y escritas -estructuras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gramaticales-: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Sustantivos comunes y propios.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Adjetivos calificativos y determinantes.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Artículos definidos e indefinidos.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Pronombres personales y determinativos.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Verbos.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lastRenderedPageBreak/>
              <w:t>• Adverbios.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Conjunciones.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Preposiciones.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Concordancia entre el artículo, sustantivo, adjetivo, sujeto y verbo.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Oraciones simples: sujeto y predicado.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Ortografía puntual, literal y acentual, estudiada en este nivel.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Vocabulario básico ortográfico.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Vocabulario de la lengua española.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Producciones textuales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escritas- Normas básicas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ortográficas-: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Mayúsculas al iniciar una oración y al escribir sustantivos propios, en el nombre de las instituciones, lugares y siglas.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Abreviaturas.</w:t>
            </w:r>
          </w:p>
          <w:p w:rsidR="00A90411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Punto al finalizar una oración.</w:t>
            </w:r>
          </w:p>
          <w:p w:rsidR="00275AE4" w:rsidRPr="00B862C4" w:rsidRDefault="00A90411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B862C4">
              <w:rPr>
                <w:rFonts w:cs="MyriadPro-Regular"/>
              </w:rPr>
              <w:t>• Punto y aparte al finalizar un párrafo.</w:t>
            </w:r>
          </w:p>
          <w:p w:rsidR="00275AE4" w:rsidRPr="00B862C4" w:rsidRDefault="00275AE4" w:rsidP="00A9041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275AE4" w:rsidRPr="00B862C4" w:rsidRDefault="00275AE4" w:rsidP="00275A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A86C10" w:rsidRPr="00B862C4" w:rsidRDefault="00A86C10" w:rsidP="00960404">
            <w:pPr>
              <w:jc w:val="center"/>
              <w:rPr>
                <w:color w:val="000000" w:themeColor="text1"/>
              </w:rPr>
            </w:pPr>
          </w:p>
          <w:p w:rsidR="00A86C10" w:rsidRPr="00B862C4" w:rsidRDefault="00232D2B" w:rsidP="00232D2B">
            <w:pPr>
              <w:jc w:val="center"/>
              <w:rPr>
                <w:b/>
              </w:rPr>
            </w:pPr>
            <w:r w:rsidRPr="00B862C4">
              <w:rPr>
                <w:color w:val="BF8F00" w:themeColor="accent4" w:themeShade="BF"/>
              </w:rPr>
              <w:t>Selecciona estructuras</w:t>
            </w:r>
            <w:r w:rsidR="00A47DF1" w:rsidRPr="00B862C4">
              <w:rPr>
                <w:color w:val="BF8F00" w:themeColor="accent4" w:themeShade="BF"/>
              </w:rPr>
              <w:t xml:space="preserve"> gramaticales (</w:t>
            </w:r>
            <w:r w:rsidR="00A86C10" w:rsidRPr="00B862C4">
              <w:rPr>
                <w:color w:val="BF8F00" w:themeColor="accent4" w:themeShade="BF"/>
              </w:rPr>
              <w:t>concordancias entre el artículo, sustantivo, adjetivo, sujeto y verbo).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Formula oraciones simples: sujeto y predicado.</w:t>
            </w: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A76A8" w:rsidRPr="00B862C4" w:rsidRDefault="00AA76A8" w:rsidP="00232D2B">
            <w:pPr>
              <w:rPr>
                <w:color w:val="BF8F00" w:themeColor="accent4" w:themeShade="BF"/>
              </w:rPr>
            </w:pPr>
          </w:p>
          <w:p w:rsidR="00232D2B" w:rsidRPr="00B862C4" w:rsidRDefault="00232D2B" w:rsidP="00232D2B">
            <w:pPr>
              <w:rPr>
                <w:color w:val="BF8F00" w:themeColor="accent4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Demuestra una ortografía puntual, literal y acentual estudiada en este nivel, para el enriquecimiento léxico y la competencia comunicativa.</w:t>
            </w:r>
          </w:p>
          <w:p w:rsidR="00A86C10" w:rsidRPr="00B862C4" w:rsidRDefault="00A86C10" w:rsidP="00960404">
            <w:pPr>
              <w:rPr>
                <w:color w:val="000000" w:themeColor="text1"/>
              </w:rPr>
            </w:pPr>
          </w:p>
          <w:p w:rsidR="00A86C10" w:rsidRPr="00B862C4" w:rsidRDefault="00A86C10" w:rsidP="00960404">
            <w:pPr>
              <w:rPr>
                <w:color w:val="000000" w:themeColor="text1"/>
              </w:rPr>
            </w:pPr>
          </w:p>
          <w:p w:rsidR="00A86C10" w:rsidRPr="00B862C4" w:rsidRDefault="00A86C10" w:rsidP="00960404"/>
          <w:p w:rsidR="00A86C10" w:rsidRPr="00B862C4" w:rsidRDefault="00A86C10" w:rsidP="00960404"/>
          <w:p w:rsidR="00A86C10" w:rsidRPr="00B862C4" w:rsidRDefault="00A86C10" w:rsidP="00960404"/>
          <w:p w:rsidR="00A86C10" w:rsidRPr="00B862C4" w:rsidRDefault="00A86C10" w:rsidP="00960404"/>
          <w:p w:rsidR="00A86C10" w:rsidRPr="00B862C4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B862C4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B862C4" w:rsidRDefault="00A86C10" w:rsidP="00960404">
            <w:pPr>
              <w:jc w:val="center"/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sustantivos propios y comunes, adjetivos calificativos y determinativos, artículos definidos e indefinidos, pronombres personales y determinativos, </w:t>
            </w:r>
            <w:r w:rsidR="00B61DB0"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verbos, adverbios, </w:t>
            </w:r>
            <w:r w:rsidR="00232D2B"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conjunciones y</w:t>
            </w:r>
            <w:r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preposiciones en las producciones textuales orales y escritas.</w:t>
            </w: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A76A8" w:rsidRPr="00B862C4" w:rsidRDefault="00AA76A8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B862C4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mayúsculas al inicio de una oración, en sustantivos propios, nombres de instituciones, lugares, siglas.</w:t>
            </w:r>
          </w:p>
          <w:p w:rsidR="00A86C10" w:rsidRPr="00B862C4" w:rsidRDefault="00A86C10" w:rsidP="00960404">
            <w:pPr>
              <w:jc w:val="center"/>
            </w:pPr>
          </w:p>
          <w:p w:rsidR="00A86C10" w:rsidRPr="00B862C4" w:rsidRDefault="00A86C10" w:rsidP="00960404">
            <w:pPr>
              <w:jc w:val="center"/>
            </w:pPr>
          </w:p>
          <w:p w:rsidR="00A86C10" w:rsidRPr="00B862C4" w:rsidRDefault="00A86C10" w:rsidP="00960404">
            <w:pPr>
              <w:pStyle w:val="Sinespaciad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86C10" w:rsidRPr="00B862C4" w:rsidRDefault="00A86C10" w:rsidP="0096040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A86C10" w:rsidRPr="00B862C4" w:rsidRDefault="00A86C10" w:rsidP="00960404">
            <w:pPr>
              <w:jc w:val="both"/>
              <w:rPr>
                <w:b/>
              </w:rPr>
            </w:pPr>
          </w:p>
        </w:tc>
      </w:tr>
    </w:tbl>
    <w:p w:rsidR="003E37BD" w:rsidRPr="003053CA" w:rsidRDefault="003E37BD" w:rsidP="003E37BD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A86C10" w:rsidRPr="00B862C4" w:rsidRDefault="00B862C4" w:rsidP="00B862C4">
      <w:pPr>
        <w:jc w:val="center"/>
        <w:rPr>
          <w:b/>
        </w:rPr>
      </w:pPr>
      <w:r w:rsidRPr="00B862C4">
        <w:rPr>
          <w:b/>
        </w:rPr>
        <w:t>I</w:t>
      </w:r>
      <w:r w:rsidR="00A86C10" w:rsidRPr="00B862C4">
        <w:rPr>
          <w:b/>
        </w:rPr>
        <w:t>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B862C4" w:rsidRPr="00B862C4" w:rsidTr="00B862C4">
        <w:tc>
          <w:tcPr>
            <w:tcW w:w="1173" w:type="pct"/>
            <w:vAlign w:val="center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(pautas para el desarrollo de la habilidad)</w:t>
            </w:r>
          </w:p>
        </w:tc>
        <w:tc>
          <w:tcPr>
            <w:tcW w:w="1173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Avanzado</w:t>
            </w:r>
          </w:p>
        </w:tc>
      </w:tr>
      <w:tr w:rsidR="00B862C4" w:rsidRPr="00B862C4" w:rsidTr="00B862C4">
        <w:trPr>
          <w:trHeight w:val="590"/>
        </w:trPr>
        <w:tc>
          <w:tcPr>
            <w:tcW w:w="11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Selecciona estructuras gramaticales (concordancias entre el artículo, sustantivo, adjetivo, sujeto y verbo).</w:t>
            </w: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sz w:val="22"/>
                <w:szCs w:val="22"/>
              </w:rPr>
              <w:t>Cita artículos, sustantivos, adjetivos, sujetos y verbos.</w:t>
            </w:r>
          </w:p>
        </w:tc>
        <w:tc>
          <w:tcPr>
            <w:tcW w:w="831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t>Diferencia la concordancia según el artículo, el sustantivo, el adjetivo, el sujeto y el verbo.</w:t>
            </w:r>
          </w:p>
        </w:tc>
        <w:tc>
          <w:tcPr>
            <w:tcW w:w="950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t>Escoge la concordancia adecuada según el artículo, el sustantivo, el adjetivo, el sujeto y el verbo al aplicarla en la producción textual.</w:t>
            </w:r>
          </w:p>
        </w:tc>
      </w:tr>
      <w:tr w:rsidR="00B862C4" w:rsidRPr="00B862C4" w:rsidTr="00B862C4">
        <w:trPr>
          <w:trHeight w:val="1237"/>
        </w:trPr>
        <w:tc>
          <w:tcPr>
            <w:tcW w:w="11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Formula oraciones simples: sujeto y predicado.</w:t>
            </w: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el sujeto y predicado en la construcción de oraciones.</w:t>
            </w:r>
          </w:p>
        </w:tc>
        <w:tc>
          <w:tcPr>
            <w:tcW w:w="831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t>Asocia ejemplos de sujeto y predicado.</w:t>
            </w:r>
          </w:p>
        </w:tc>
        <w:tc>
          <w:tcPr>
            <w:tcW w:w="950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t>Precisa sujetos y predicados en la construcción de oraciones simples.</w:t>
            </w:r>
          </w:p>
        </w:tc>
      </w:tr>
      <w:tr w:rsidR="00B862C4" w:rsidRPr="00B862C4" w:rsidTr="00B862C4">
        <w:trPr>
          <w:trHeight w:val="857"/>
        </w:trPr>
        <w:tc>
          <w:tcPr>
            <w:tcW w:w="11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color w:val="BF8F00" w:themeColor="accent4" w:themeShade="BF"/>
              </w:rPr>
            </w:pPr>
            <w:r w:rsidRPr="00B862C4">
              <w:rPr>
                <w:color w:val="BF8F00" w:themeColor="accent4" w:themeShade="BF"/>
              </w:rPr>
              <w:t>Demuestra una ortografía puntual, literal, y acentual estudiada en este nivel, para el enriquecimiento léxico y la competencia comunicativa.</w:t>
            </w:r>
          </w:p>
        </w:tc>
        <w:tc>
          <w:tcPr>
            <w:tcW w:w="8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ejemplos de palabras con ortografía acentual, puntual y literal.</w:t>
            </w:r>
          </w:p>
        </w:tc>
        <w:tc>
          <w:tcPr>
            <w:tcW w:w="831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t>Brinda ejemplos de oraciones con ortografía acentual, puntual y literal.</w:t>
            </w:r>
          </w:p>
        </w:tc>
        <w:tc>
          <w:tcPr>
            <w:tcW w:w="950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t>Especifica la aplicación de la ortografía acentual, puntual y literal en la construcción de textos.</w:t>
            </w:r>
          </w:p>
        </w:tc>
      </w:tr>
    </w:tbl>
    <w:p w:rsidR="00A86C10" w:rsidRPr="00B862C4" w:rsidRDefault="00A86C10" w:rsidP="00A86C10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B862C4" w:rsidRPr="00B862C4" w:rsidTr="00B862C4">
        <w:tc>
          <w:tcPr>
            <w:tcW w:w="1173" w:type="pct"/>
            <w:vAlign w:val="center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862C4" w:rsidRPr="00B862C4" w:rsidRDefault="00B862C4" w:rsidP="00B862C4">
            <w:pPr>
              <w:jc w:val="center"/>
              <w:rPr>
                <w:b/>
              </w:rPr>
            </w:pPr>
            <w:r w:rsidRPr="00B862C4">
              <w:rPr>
                <w:b/>
              </w:rPr>
              <w:t>Avanzado</w:t>
            </w:r>
          </w:p>
        </w:tc>
      </w:tr>
      <w:tr w:rsidR="00B862C4" w:rsidRPr="00B862C4" w:rsidTr="00B862C4">
        <w:trPr>
          <w:trHeight w:val="857"/>
        </w:trPr>
        <w:tc>
          <w:tcPr>
            <w:tcW w:w="11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862C4" w:rsidRPr="00B862C4" w:rsidRDefault="00B862C4" w:rsidP="00B862C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862C4">
              <w:rPr>
                <w:rFonts w:cs="Arial"/>
                <w:color w:val="C45911" w:themeColor="accent2" w:themeShade="BF"/>
              </w:rPr>
              <w:t xml:space="preserve">Utiliza sustantivos propios y comunes, adjetivos calificativos y determinativos, artículos definidos e indefinidos, pronombres personales y </w:t>
            </w:r>
            <w:r w:rsidRPr="00B862C4">
              <w:rPr>
                <w:rFonts w:cs="Arial"/>
                <w:color w:val="C45911" w:themeColor="accent2" w:themeShade="BF"/>
              </w:rPr>
              <w:lastRenderedPageBreak/>
              <w:t>determinativos, verbos, adverbios, conjunciones y preposiciones en las producciones textuales orales y escritas.</w:t>
            </w:r>
          </w:p>
        </w:tc>
        <w:tc>
          <w:tcPr>
            <w:tcW w:w="8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B862C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Anota sustantivos, adjetivos, artículos, pronombres, verbos, adverbios, </w:t>
            </w:r>
            <w:r w:rsidRPr="00B862C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conjunciones y preposiciones en las producciones orales y escritas.</w:t>
            </w:r>
          </w:p>
        </w:tc>
        <w:tc>
          <w:tcPr>
            <w:tcW w:w="831" w:type="pct"/>
            <w:vAlign w:val="center"/>
          </w:tcPr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  <w:r w:rsidRPr="00B862C4">
              <w:rPr>
                <w:color w:val="000000" w:themeColor="text1"/>
              </w:rPr>
              <w:lastRenderedPageBreak/>
              <w:t>Distingue sustantivos comunes y propios, artículos definidos e indefinidos y adjetivos calificativos y determinativos.</w:t>
            </w:r>
          </w:p>
        </w:tc>
        <w:tc>
          <w:tcPr>
            <w:tcW w:w="950" w:type="pct"/>
            <w:vAlign w:val="center"/>
          </w:tcPr>
          <w:p w:rsidR="00B862C4" w:rsidRPr="00B862C4" w:rsidRDefault="00B862C4" w:rsidP="00B862C4">
            <w:pPr>
              <w:jc w:val="center"/>
            </w:pPr>
            <w:r w:rsidRPr="00B862C4">
              <w:rPr>
                <w:color w:val="000000" w:themeColor="text1"/>
              </w:rPr>
              <w:t xml:space="preserve">Emplea </w:t>
            </w:r>
            <w:r w:rsidRPr="00B862C4">
              <w:t xml:space="preserve">sustantivos propios y comunes, adjetivos calificativos y determinativos, artículos definidos e indefinidos, pronombres personales </w:t>
            </w:r>
            <w:r w:rsidRPr="00B862C4">
              <w:lastRenderedPageBreak/>
              <w:t>y determinativos, verbos, adverbios, conjunciones, y preposiciones en las producciones textuales orales y escritas.</w:t>
            </w:r>
          </w:p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</w:p>
        </w:tc>
      </w:tr>
      <w:tr w:rsidR="00B862C4" w:rsidRPr="00B862C4" w:rsidTr="00B862C4">
        <w:trPr>
          <w:trHeight w:val="857"/>
        </w:trPr>
        <w:tc>
          <w:tcPr>
            <w:tcW w:w="1173" w:type="pct"/>
          </w:tcPr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62C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862C4" w:rsidRPr="00B862C4" w:rsidRDefault="00B862C4" w:rsidP="00B862C4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B862C4">
              <w:rPr>
                <w:rFonts w:cs="Arial"/>
                <w:color w:val="C45911" w:themeColor="accent2" w:themeShade="BF"/>
              </w:rPr>
              <w:t>Utiliza mayúsculas al inicio de una oración, en sustantivos propios, nombres de instituciones, lugares, siglas.</w:t>
            </w:r>
          </w:p>
          <w:p w:rsidR="00B862C4" w:rsidRPr="00B862C4" w:rsidRDefault="00B862C4" w:rsidP="00B862C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B862C4" w:rsidRPr="00B862C4" w:rsidRDefault="00B862C4" w:rsidP="00B862C4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B862C4" w:rsidRPr="00B862C4" w:rsidRDefault="00B862C4" w:rsidP="00B862C4">
            <w:pPr>
              <w:jc w:val="center"/>
            </w:pPr>
            <w:r w:rsidRPr="00B862C4">
              <w:rPr>
                <w:color w:val="000000" w:themeColor="text1"/>
              </w:rPr>
              <w:t xml:space="preserve">Indica el uso de la mayúscula en relación con </w:t>
            </w:r>
            <w:r w:rsidRPr="00B862C4">
              <w:t>sustantivos propios, nombres de instituciones, lugares, siglas.</w:t>
            </w:r>
          </w:p>
          <w:p w:rsidR="00B862C4" w:rsidRPr="00B862C4" w:rsidRDefault="00B862C4" w:rsidP="00B862C4">
            <w:pPr>
              <w:jc w:val="center"/>
            </w:pPr>
          </w:p>
          <w:p w:rsidR="00B862C4" w:rsidRPr="00B862C4" w:rsidRDefault="00B862C4" w:rsidP="00B862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B862C4" w:rsidRPr="00B862C4" w:rsidRDefault="00B862C4" w:rsidP="00B862C4">
            <w:pPr>
              <w:jc w:val="center"/>
            </w:pPr>
            <w:r w:rsidRPr="00B862C4">
              <w:rPr>
                <w:color w:val="000000" w:themeColor="text1"/>
              </w:rPr>
              <w:t xml:space="preserve">Relata ejemplos del uso de mayúscula en </w:t>
            </w:r>
            <w:r w:rsidRPr="00B862C4">
              <w:t>sustantivos propios, nombres de instituciones, lugares, siglas.</w:t>
            </w:r>
          </w:p>
          <w:p w:rsidR="00B862C4" w:rsidRPr="00B862C4" w:rsidRDefault="00B862C4" w:rsidP="00B862C4">
            <w:pPr>
              <w:jc w:val="center"/>
            </w:pPr>
          </w:p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B862C4" w:rsidRPr="00B862C4" w:rsidRDefault="00B862C4" w:rsidP="00B862C4">
            <w:pPr>
              <w:jc w:val="center"/>
            </w:pPr>
            <w:r w:rsidRPr="00B862C4">
              <w:rPr>
                <w:color w:val="000000" w:themeColor="text1"/>
              </w:rPr>
              <w:t xml:space="preserve">Emplea </w:t>
            </w:r>
            <w:r w:rsidRPr="00B862C4">
              <w:t>mayúsculas al inicio de una oración y en sustantivos propios, nombres de instituciones, lugares, siglas.</w:t>
            </w:r>
          </w:p>
          <w:p w:rsidR="00B862C4" w:rsidRPr="00B862C4" w:rsidRDefault="00B862C4" w:rsidP="00B862C4">
            <w:pPr>
              <w:jc w:val="center"/>
            </w:pPr>
          </w:p>
          <w:p w:rsidR="00B862C4" w:rsidRPr="00B862C4" w:rsidRDefault="00B862C4" w:rsidP="00B862C4">
            <w:pPr>
              <w:jc w:val="center"/>
              <w:rPr>
                <w:color w:val="000000" w:themeColor="text1"/>
              </w:rPr>
            </w:pPr>
          </w:p>
        </w:tc>
      </w:tr>
    </w:tbl>
    <w:p w:rsidR="00A86C10" w:rsidRPr="00B862C4" w:rsidRDefault="00A86C10" w:rsidP="00A86C10">
      <w:pPr>
        <w:spacing w:after="0"/>
        <w:jc w:val="both"/>
        <w:rPr>
          <w:b/>
        </w:rPr>
      </w:pPr>
    </w:p>
    <w:p w:rsidR="00A86C10" w:rsidRPr="00B862C4" w:rsidRDefault="00A86C10" w:rsidP="00A86C10">
      <w:pPr>
        <w:spacing w:after="0"/>
        <w:jc w:val="both"/>
        <w:rPr>
          <w:b/>
        </w:rPr>
      </w:pPr>
    </w:p>
    <w:p w:rsidR="00A86C10" w:rsidRPr="00B862C4" w:rsidRDefault="00A86C10" w:rsidP="00A86C10">
      <w:pPr>
        <w:spacing w:after="0"/>
        <w:jc w:val="both"/>
        <w:rPr>
          <w:b/>
        </w:rPr>
      </w:pPr>
    </w:p>
    <w:p w:rsidR="00F149C5" w:rsidRDefault="00F149C5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F149C5">
      <w:pPr>
        <w:jc w:val="both"/>
        <w:rPr>
          <w:b/>
        </w:rPr>
      </w:pP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163C6" w:rsidRDefault="00D163C6" w:rsidP="00D163C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163C6" w:rsidRDefault="00D163C6" w:rsidP="00D163C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163C6" w:rsidRDefault="00D163C6" w:rsidP="00D163C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163C6" w:rsidRDefault="00D163C6" w:rsidP="00D163C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163C6" w:rsidRDefault="00D163C6" w:rsidP="00D163C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163C6" w:rsidRDefault="00D163C6" w:rsidP="00D163C6">
      <w:pPr>
        <w:pStyle w:val="Sinespaciado"/>
        <w:rPr>
          <w:rFonts w:ascii="Cambria" w:eastAsia="Calibri" w:hAnsi="Cambria" w:cs="Arial"/>
          <w:lang w:eastAsia="en-US"/>
        </w:rPr>
      </w:pPr>
    </w:p>
    <w:p w:rsidR="00D163C6" w:rsidRDefault="00D163C6" w:rsidP="00D163C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163C6" w:rsidRDefault="00D163C6" w:rsidP="00D163C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163C6" w:rsidRDefault="00D163C6" w:rsidP="00D163C6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163C6" w:rsidRDefault="00D163C6" w:rsidP="00D163C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163C6" w:rsidRDefault="00D163C6" w:rsidP="00D163C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163C6" w:rsidRDefault="00D163C6" w:rsidP="00D163C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163C6" w:rsidRDefault="00D163C6" w:rsidP="00D163C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163C6" w:rsidRDefault="00D163C6" w:rsidP="00D163C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163C6" w:rsidRDefault="00D163C6" w:rsidP="00D163C6">
      <w:pPr>
        <w:rPr>
          <w:rFonts w:ascii="Calibri" w:eastAsia="Calibri" w:hAnsi="Calibri" w:cs="Times New Roman"/>
        </w:rPr>
      </w:pPr>
      <w:r>
        <w:t xml:space="preserve"> </w:t>
      </w:r>
    </w:p>
    <w:p w:rsidR="00D163C6" w:rsidRDefault="00D163C6" w:rsidP="00D163C6">
      <w:pPr>
        <w:rPr>
          <w:b/>
        </w:rPr>
      </w:pPr>
      <w:r>
        <w:rPr>
          <w:b/>
        </w:rPr>
        <w:t>Docentes:</w:t>
      </w:r>
    </w:p>
    <w:p w:rsidR="00D163C6" w:rsidRDefault="00D163C6" w:rsidP="00D163C6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163C6" w:rsidRDefault="00D163C6" w:rsidP="00D163C6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163C6" w:rsidRDefault="00D163C6" w:rsidP="00D163C6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163C6" w:rsidRDefault="00D163C6" w:rsidP="00D163C6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163C6" w:rsidRDefault="00D163C6" w:rsidP="00D163C6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163C6" w:rsidRDefault="00D163C6" w:rsidP="00D163C6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163C6" w:rsidRDefault="00D163C6" w:rsidP="00D163C6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163C6" w:rsidRDefault="00D163C6" w:rsidP="00F149C5">
      <w:pPr>
        <w:jc w:val="both"/>
        <w:rPr>
          <w:b/>
        </w:rPr>
      </w:pPr>
      <w:bookmarkStart w:id="0" w:name="_GoBack"/>
      <w:bookmarkEnd w:id="0"/>
    </w:p>
    <w:p w:rsidR="00D163C6" w:rsidRDefault="00D163C6" w:rsidP="00F149C5">
      <w:pPr>
        <w:jc w:val="both"/>
        <w:rPr>
          <w:b/>
        </w:rPr>
      </w:pPr>
    </w:p>
    <w:p w:rsidR="00D163C6" w:rsidRPr="00B862C4" w:rsidRDefault="00D163C6" w:rsidP="00F149C5">
      <w:pPr>
        <w:jc w:val="both"/>
        <w:rPr>
          <w:b/>
        </w:rPr>
      </w:pPr>
    </w:p>
    <w:sectPr w:rsidR="00D163C6" w:rsidRPr="00B862C4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584" w:rsidRDefault="00462584" w:rsidP="00140D69">
      <w:pPr>
        <w:spacing w:after="0" w:line="240" w:lineRule="auto"/>
      </w:pPr>
      <w:r>
        <w:separator/>
      </w:r>
    </w:p>
  </w:endnote>
  <w:endnote w:type="continuationSeparator" w:id="0">
    <w:p w:rsidR="00462584" w:rsidRDefault="0046258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62" w:rsidRDefault="00AF026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62" w:rsidRDefault="00AF0262" w:rsidP="00AF0262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F0262" w:rsidRDefault="00AF026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62" w:rsidRDefault="00AF02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584" w:rsidRDefault="00462584" w:rsidP="00140D69">
      <w:pPr>
        <w:spacing w:after="0" w:line="240" w:lineRule="auto"/>
      </w:pPr>
      <w:r>
        <w:separator/>
      </w:r>
    </w:p>
  </w:footnote>
  <w:footnote w:type="continuationSeparator" w:id="0">
    <w:p w:rsidR="00462584" w:rsidRDefault="00462584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62" w:rsidRDefault="00AF026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62" w:rsidRDefault="00AF026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62" w:rsidRDefault="00AF02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1192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8BC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1361D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A7FDD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2D2B"/>
    <w:rsid w:val="00236A34"/>
    <w:rsid w:val="00240A41"/>
    <w:rsid w:val="00242B86"/>
    <w:rsid w:val="002446CA"/>
    <w:rsid w:val="00247FCA"/>
    <w:rsid w:val="00251A94"/>
    <w:rsid w:val="00273E23"/>
    <w:rsid w:val="00275AE4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37BD"/>
    <w:rsid w:val="003E5F3B"/>
    <w:rsid w:val="003E6F73"/>
    <w:rsid w:val="003E741A"/>
    <w:rsid w:val="003E7F0B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2584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23F2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629A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3C13"/>
    <w:rsid w:val="0095439C"/>
    <w:rsid w:val="00954C88"/>
    <w:rsid w:val="009562A4"/>
    <w:rsid w:val="00956F16"/>
    <w:rsid w:val="00960404"/>
    <w:rsid w:val="009766B7"/>
    <w:rsid w:val="009827E9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74C7C"/>
    <w:rsid w:val="00A8651C"/>
    <w:rsid w:val="00A86C10"/>
    <w:rsid w:val="00A90411"/>
    <w:rsid w:val="00AA2BDA"/>
    <w:rsid w:val="00AA76A8"/>
    <w:rsid w:val="00AD048B"/>
    <w:rsid w:val="00AD1B57"/>
    <w:rsid w:val="00AD7A51"/>
    <w:rsid w:val="00AD7FF8"/>
    <w:rsid w:val="00AF0262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50C0"/>
    <w:rsid w:val="00B566C4"/>
    <w:rsid w:val="00B61DB0"/>
    <w:rsid w:val="00B66DA1"/>
    <w:rsid w:val="00B759F4"/>
    <w:rsid w:val="00B83326"/>
    <w:rsid w:val="00B862C4"/>
    <w:rsid w:val="00B903FF"/>
    <w:rsid w:val="00B93128"/>
    <w:rsid w:val="00BA2D50"/>
    <w:rsid w:val="00BB02D6"/>
    <w:rsid w:val="00BC2C13"/>
    <w:rsid w:val="00BC608D"/>
    <w:rsid w:val="00BC631D"/>
    <w:rsid w:val="00BC7754"/>
    <w:rsid w:val="00BD1C6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163C6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D5EC3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728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28DF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D163C6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3C50F-F0A1-408B-9623-1FDE471D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1770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16</cp:revision>
  <dcterms:created xsi:type="dcterms:W3CDTF">2019-07-22T13:25:00Z</dcterms:created>
  <dcterms:modified xsi:type="dcterms:W3CDTF">2019-12-02T16:41:00Z</dcterms:modified>
</cp:coreProperties>
</file>