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B0F" w:rsidRPr="001C3B3C" w:rsidRDefault="00466B0F" w:rsidP="00466B0F">
      <w:pPr>
        <w:spacing w:after="0" w:line="240" w:lineRule="auto"/>
        <w:jc w:val="center"/>
        <w:rPr>
          <w:b/>
        </w:rPr>
      </w:pPr>
      <w:r w:rsidRPr="001C3B3C">
        <w:rPr>
          <w:b/>
        </w:rPr>
        <w:t xml:space="preserve">Lineamientos generales para el planeamiento de </w:t>
      </w:r>
    </w:p>
    <w:p w:rsidR="00466B0F" w:rsidRPr="001C3B3C" w:rsidRDefault="00466B0F" w:rsidP="00466B0F">
      <w:pPr>
        <w:spacing w:after="0" w:line="240" w:lineRule="auto"/>
        <w:jc w:val="center"/>
        <w:rPr>
          <w:b/>
        </w:rPr>
      </w:pPr>
      <w:r w:rsidRPr="001C3B3C">
        <w:rPr>
          <w:b/>
        </w:rPr>
        <w:t>Español en Primer Ciclo y Segundo Ciclo</w:t>
      </w:r>
    </w:p>
    <w:p w:rsidR="00466B0F" w:rsidRPr="001C3B3C" w:rsidRDefault="00466B0F" w:rsidP="00466B0F">
      <w:pPr>
        <w:spacing w:after="0" w:line="240" w:lineRule="auto"/>
        <w:jc w:val="center"/>
      </w:pP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 xml:space="preserve">Las actividades de mediación para desarrollar las lecciones de </w:t>
      </w:r>
      <w:proofErr w:type="gramStart"/>
      <w:r w:rsidRPr="001C3B3C">
        <w:t>Español</w:t>
      </w:r>
      <w:proofErr w:type="gramEnd"/>
      <w:r w:rsidRPr="001C3B3C">
        <w:t xml:space="preserve"> en primaria, se elaboran considerando los tres momentos claves para el abordaje de los contenidos curriculares correspondientes (inicio, desarrollo y cierre).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>Las actividades de mediación se redactan de manera muy detallada y en tercera persona singular.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 xml:space="preserve">El contenido curricular actitudinal correspondiente debe evidenciarse en la redacción de alguna de las actividades de mediación y se subraya o escribe con letra negrita o de otro color. 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1C3B3C">
        <w:t>supracitado</w:t>
      </w:r>
      <w:proofErr w:type="spellEnd"/>
      <w:r w:rsidRPr="001C3B3C">
        <w:t xml:space="preserve"> establece la dosificación por nivel y las listas de lecturas recomendadas para ambos ciclos educativos.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1C3B3C">
        <w:rPr>
          <w:b/>
        </w:rPr>
        <w:t>DVM-AC-0015-01-2017</w:t>
      </w:r>
      <w:r w:rsidRPr="001C3B3C">
        <w:t xml:space="preserve">. 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1C3B3C">
        <w:t>subsitio</w:t>
      </w:r>
      <w:proofErr w:type="spellEnd"/>
      <w:r w:rsidRPr="001C3B3C">
        <w:t xml:space="preserve"> Piensa en Arte, al cual se puede ingresar con una contraseña creada por el usuario que cuente con correo oficial del MEP.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>El contenido 4.1 de primer año se debe retomar periódicamente, cada vez que se trabaje el desarrollo o estimulación de la conciencia fonológica.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>Debido a lo expuesto en el punto anterior, y como parte del proceso de lectoescritura, la unidad de articulación se abarca hacia el final del primer año, o bien, al iniciar el segundo año escolar.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466B0F" w:rsidRPr="001C3B3C" w:rsidRDefault="00466B0F" w:rsidP="00466B0F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1C3B3C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466B0F" w:rsidRPr="001C3B3C" w:rsidRDefault="00466B0F" w:rsidP="00365B4E">
      <w:pPr>
        <w:jc w:val="center"/>
        <w:rPr>
          <w:b/>
        </w:rPr>
      </w:pPr>
    </w:p>
    <w:p w:rsidR="00365B4E" w:rsidRDefault="00365B4E" w:rsidP="00365B4E">
      <w:pPr>
        <w:jc w:val="center"/>
        <w:rPr>
          <w:b/>
        </w:rPr>
      </w:pPr>
      <w:r w:rsidRPr="001C3B3C">
        <w:rPr>
          <w:b/>
        </w:rPr>
        <w:lastRenderedPageBreak/>
        <w:t xml:space="preserve">Plantilla de planeamiento didáctico de Español </w:t>
      </w:r>
    </w:p>
    <w:p w:rsidR="006C67B1" w:rsidRDefault="006C67B1" w:rsidP="006C67B1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466B0F" w:rsidRPr="001C3B3C" w:rsidTr="00466B0F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65B4E" w:rsidRPr="001C3B3C" w:rsidRDefault="00365B4E" w:rsidP="00DC2DFF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C3B3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65B4E" w:rsidRPr="001C3B3C" w:rsidRDefault="00365B4E" w:rsidP="00DC2DFF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466B0F" w:rsidRPr="001C3B3C" w:rsidTr="00466B0F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65B4E" w:rsidRPr="001C3B3C" w:rsidRDefault="00365B4E" w:rsidP="00DC2DFF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Nombre y apellidos del docente o la docente</w:t>
            </w:r>
            <w:r w:rsidRPr="001C3B3C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65B4E" w:rsidRPr="001C3B3C" w:rsidRDefault="00365B4E" w:rsidP="00DC2DFF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7A1E9C" w:rsidRPr="001C3B3C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466B0F" w:rsidRPr="001C3B3C" w:rsidTr="00466B0F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65B4E" w:rsidRPr="001C3B3C" w:rsidRDefault="00365B4E" w:rsidP="009861B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9861BB" w:rsidRPr="001C3B3C">
              <w:rPr>
                <w:rFonts w:asciiTheme="minorHAnsi" w:hAnsiTheme="minorHAnsi" w:cs="Arial"/>
                <w:b/>
                <w:sz w:val="22"/>
                <w:szCs w:val="22"/>
              </w:rPr>
              <w:t>Cuarto</w:t>
            </w: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65B4E" w:rsidRPr="001C3B3C" w:rsidRDefault="00365B4E" w:rsidP="00C6517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lectivo: </w:t>
            </w:r>
            <w:r w:rsidR="00C6517D" w:rsidRPr="001C3B3C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65B4E" w:rsidRPr="001C3B3C" w:rsidRDefault="00466B0F" w:rsidP="00466B0F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Periodicidad:  mensual (f</w:t>
            </w:r>
            <w:r w:rsidR="007A1E9C" w:rsidRPr="001C3B3C">
              <w:rPr>
                <w:rFonts w:asciiTheme="minorHAnsi" w:hAnsiTheme="minorHAnsi" w:cs="Arial"/>
                <w:b/>
                <w:sz w:val="22"/>
                <w:szCs w:val="22"/>
              </w:rPr>
              <w:t>ebrero</w:t>
            </w: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</w:tc>
      </w:tr>
    </w:tbl>
    <w:p w:rsidR="006C67B1" w:rsidRPr="003053CA" w:rsidRDefault="006C67B1" w:rsidP="006C67B1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365B4E" w:rsidRPr="001C3B3C" w:rsidRDefault="00365B4E" w:rsidP="00365B4E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365B4E" w:rsidRPr="001C3B3C" w:rsidTr="00DC2DFF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C3B3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5B4E" w:rsidRPr="001C3B3C" w:rsidRDefault="00BD307B" w:rsidP="00DC2DF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C3B3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65B4E" w:rsidRPr="001C3B3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65B4E" w:rsidRPr="001C3B3C" w:rsidTr="00DC2DFF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365B4E" w:rsidRPr="001C3B3C" w:rsidRDefault="00365B4E" w:rsidP="00DC2DFF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1C3B3C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>Resolución de problemas capacidad de conocer, organizar y auto-regular el propio proceso de aprendizaje.</w:t>
            </w:r>
          </w:p>
          <w:p w:rsidR="00365B4E" w:rsidRPr="001C3B3C" w:rsidRDefault="00365B4E" w:rsidP="00DC2DFF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realizar.</w:t>
            </w:r>
          </w:p>
        </w:tc>
      </w:tr>
      <w:tr w:rsidR="00365B4E" w:rsidRPr="001C3B3C" w:rsidTr="00DC2DF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5B4E" w:rsidRPr="001C3B3C" w:rsidRDefault="00365B4E" w:rsidP="00DC2DFF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propuesto.</w:t>
            </w:r>
          </w:p>
          <w:p w:rsidR="00365B4E" w:rsidRPr="001C3B3C" w:rsidRDefault="00365B4E" w:rsidP="00DC2DFF">
            <w:pPr>
              <w:jc w:val="center"/>
              <w:rPr>
                <w:color w:val="000000" w:themeColor="text1"/>
              </w:rPr>
            </w:pPr>
          </w:p>
        </w:tc>
      </w:tr>
      <w:tr w:rsidR="00365B4E" w:rsidRPr="001C3B3C" w:rsidTr="00DC2DF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5B4E" w:rsidRPr="001C3B3C" w:rsidRDefault="00365B4E" w:rsidP="00DC2DFF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365B4E" w:rsidRPr="001C3B3C" w:rsidRDefault="00365B4E" w:rsidP="00DC2DFF">
            <w:pPr>
              <w:jc w:val="center"/>
            </w:pPr>
            <w:r w:rsidRPr="001C3B3C">
              <w:rPr>
                <w:rFonts w:cs="Arial"/>
              </w:rPr>
              <w:t>Determina que lo importante no es la respuesta correcta, sino aumentar la comprensión de algo paso a paso.</w:t>
            </w:r>
          </w:p>
        </w:tc>
      </w:tr>
    </w:tbl>
    <w:p w:rsidR="00365B4E" w:rsidRPr="001C3B3C" w:rsidRDefault="00365B4E" w:rsidP="00365B4E">
      <w:pPr>
        <w:spacing w:after="0"/>
        <w:rPr>
          <w:b/>
        </w:rPr>
      </w:pPr>
    </w:p>
    <w:p w:rsidR="00072DDA" w:rsidRPr="001C3B3C" w:rsidRDefault="00072DDA" w:rsidP="00365B4E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70AD47" w:themeFill="accent6"/>
        <w:tblLook w:val="04A0" w:firstRow="1" w:lastRow="0" w:firstColumn="1" w:lastColumn="0" w:noHBand="0" w:noVBand="1"/>
      </w:tblPr>
      <w:tblGrid>
        <w:gridCol w:w="3104"/>
        <w:gridCol w:w="9895"/>
      </w:tblGrid>
      <w:tr w:rsidR="00365B4E" w:rsidRPr="001C3B3C" w:rsidTr="00DC2DFF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C3B3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365B4E" w:rsidRPr="001C3B3C" w:rsidRDefault="00BD307B" w:rsidP="00DC2DF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C3B3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65B4E" w:rsidRPr="001C3B3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65B4E" w:rsidRPr="001C3B3C" w:rsidTr="00DC2DFF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Manejo de la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sz w:val="22"/>
                <w:szCs w:val="22"/>
              </w:rPr>
              <w:t>Información:</w:t>
            </w:r>
          </w:p>
          <w:p w:rsidR="00365B4E" w:rsidRPr="001C3B3C" w:rsidRDefault="00365B4E" w:rsidP="00DC2DFF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C3B3C">
              <w:rPr>
                <w:rFonts w:asciiTheme="minorHAnsi" w:hAnsiTheme="minorHAnsi"/>
                <w:sz w:val="22"/>
                <w:szCs w:val="22"/>
              </w:rPr>
              <w:t xml:space="preserve">Habilidad para acceder a la información de forma eficiente, evaluarla de manera crítica y utilizarla de forma creativa y precisa. 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365B4E" w:rsidRPr="001C3B3C" w:rsidRDefault="00365B4E" w:rsidP="00DC2DFF">
            <w:pPr>
              <w:rPr>
                <w:b/>
              </w:rPr>
            </w:pPr>
            <w:r w:rsidRPr="001C3B3C">
              <w:rPr>
                <w:b/>
              </w:rPr>
              <w:t>Valoración de la información</w:t>
            </w:r>
          </w:p>
          <w:p w:rsidR="00365B4E" w:rsidRPr="001C3B3C" w:rsidRDefault="00365B4E" w:rsidP="00DC2DFF">
            <w:r w:rsidRPr="001C3B3C">
              <w:t>Evalúa y compara la veracidad de la información obtenida de distintas fuentes y por diferentes medios.</w:t>
            </w:r>
          </w:p>
          <w:p w:rsidR="00365B4E" w:rsidRPr="001C3B3C" w:rsidRDefault="00365B4E" w:rsidP="00DC2DFF">
            <w:pPr>
              <w:jc w:val="both"/>
              <w:rPr>
                <w:color w:val="000000" w:themeColor="text1"/>
              </w:rPr>
            </w:pPr>
          </w:p>
        </w:tc>
      </w:tr>
      <w:tr w:rsidR="00365B4E" w:rsidRPr="001C3B3C" w:rsidTr="00DC2DF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365B4E" w:rsidRPr="001C3B3C" w:rsidRDefault="00365B4E" w:rsidP="00DC2DFF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365B4E" w:rsidRPr="001C3B3C" w:rsidRDefault="00365B4E" w:rsidP="00DC2DFF">
            <w:pPr>
              <w:rPr>
                <w:b/>
              </w:rPr>
            </w:pPr>
            <w:r w:rsidRPr="001C3B3C">
              <w:rPr>
                <w:b/>
              </w:rPr>
              <w:t>Presentación de la información</w:t>
            </w:r>
          </w:p>
          <w:p w:rsidR="00365B4E" w:rsidRPr="001C3B3C" w:rsidRDefault="00365B4E" w:rsidP="00DC2DFF">
            <w:r w:rsidRPr="001C3B3C">
              <w:t>Divulga las diferentes formas de presentación de la información (prosa, esquemas y gráficos) para su óptima información.</w:t>
            </w:r>
          </w:p>
          <w:p w:rsidR="00365B4E" w:rsidRPr="001C3B3C" w:rsidRDefault="00365B4E" w:rsidP="00DC2DFF">
            <w:pPr>
              <w:jc w:val="center"/>
              <w:rPr>
                <w:color w:val="000000" w:themeColor="text1"/>
              </w:rPr>
            </w:pPr>
          </w:p>
        </w:tc>
      </w:tr>
      <w:tr w:rsidR="00365B4E" w:rsidRPr="001C3B3C" w:rsidTr="00DC2DF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365B4E" w:rsidRPr="001C3B3C" w:rsidRDefault="00365B4E" w:rsidP="00DC2DFF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365B4E" w:rsidRPr="001C3B3C" w:rsidRDefault="00365B4E" w:rsidP="00DC2DFF">
            <w:pPr>
              <w:jc w:val="center"/>
            </w:pPr>
          </w:p>
        </w:tc>
      </w:tr>
    </w:tbl>
    <w:p w:rsidR="006C67B1" w:rsidRDefault="006C67B1" w:rsidP="006C67B1">
      <w:pPr>
        <w:rPr>
          <w:b/>
        </w:rPr>
      </w:pPr>
    </w:p>
    <w:p w:rsidR="006C67B1" w:rsidRDefault="006C67B1" w:rsidP="006C67B1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036" w:type="dxa"/>
        <w:tblLayout w:type="fixed"/>
        <w:tblLook w:val="04A0" w:firstRow="1" w:lastRow="0" w:firstColumn="1" w:lastColumn="0" w:noHBand="0" w:noVBand="1"/>
      </w:tblPr>
      <w:tblGrid>
        <w:gridCol w:w="1852"/>
        <w:gridCol w:w="2112"/>
        <w:gridCol w:w="2127"/>
        <w:gridCol w:w="6945"/>
      </w:tblGrid>
      <w:tr w:rsidR="00365B4E" w:rsidRPr="001C3B3C" w:rsidTr="00127F05">
        <w:tc>
          <w:tcPr>
            <w:tcW w:w="3964" w:type="dxa"/>
            <w:gridSpan w:val="2"/>
          </w:tcPr>
          <w:p w:rsidR="00365B4E" w:rsidRPr="001C3B3C" w:rsidRDefault="00365B4E" w:rsidP="00DC2DFF">
            <w:pPr>
              <w:jc w:val="center"/>
              <w:rPr>
                <w:b/>
              </w:rPr>
            </w:pPr>
            <w:r w:rsidRPr="001C3B3C">
              <w:rPr>
                <w:b/>
              </w:rPr>
              <w:br w:type="page"/>
              <w:t>Aprendizaje esperado</w:t>
            </w:r>
          </w:p>
        </w:tc>
        <w:tc>
          <w:tcPr>
            <w:tcW w:w="2127" w:type="dxa"/>
            <w:vMerge w:val="restart"/>
            <w:vAlign w:val="center"/>
          </w:tcPr>
          <w:p w:rsidR="00365B4E" w:rsidRPr="001C3B3C" w:rsidRDefault="00365B4E" w:rsidP="00DC2DFF">
            <w:pPr>
              <w:jc w:val="center"/>
              <w:rPr>
                <w:b/>
              </w:rPr>
            </w:pPr>
            <w:r w:rsidRPr="001C3B3C">
              <w:rPr>
                <w:b/>
              </w:rPr>
              <w:t>Indicadores del aprendizaje esperado</w:t>
            </w:r>
          </w:p>
        </w:tc>
        <w:tc>
          <w:tcPr>
            <w:tcW w:w="6945" w:type="dxa"/>
            <w:vMerge w:val="restart"/>
            <w:vAlign w:val="center"/>
          </w:tcPr>
          <w:p w:rsidR="00365B4E" w:rsidRPr="001C3B3C" w:rsidRDefault="00BD307B" w:rsidP="00DC2DFF">
            <w:pPr>
              <w:jc w:val="center"/>
              <w:rPr>
                <w:b/>
              </w:rPr>
            </w:pPr>
            <w:r w:rsidRPr="001C3B3C">
              <w:rPr>
                <w:b/>
              </w:rPr>
              <w:t>Estrategias de mediación sugeridas</w:t>
            </w:r>
          </w:p>
        </w:tc>
      </w:tr>
      <w:tr w:rsidR="00365B4E" w:rsidRPr="001C3B3C" w:rsidTr="00127F05">
        <w:tc>
          <w:tcPr>
            <w:tcW w:w="1852" w:type="dxa"/>
          </w:tcPr>
          <w:p w:rsidR="00365B4E" w:rsidRPr="001C3B3C" w:rsidRDefault="00365B4E" w:rsidP="00DC2DFF">
            <w:pPr>
              <w:jc w:val="center"/>
              <w:rPr>
                <w:b/>
                <w:highlight w:val="yellow"/>
              </w:rPr>
            </w:pPr>
            <w:r w:rsidRPr="001C3B3C">
              <w:rPr>
                <w:b/>
              </w:rPr>
              <w:t>Indicador para el desarrollo de la habilidad</w:t>
            </w:r>
          </w:p>
        </w:tc>
        <w:tc>
          <w:tcPr>
            <w:tcW w:w="2112" w:type="dxa"/>
          </w:tcPr>
          <w:p w:rsidR="00365B4E" w:rsidRPr="001C3B3C" w:rsidRDefault="00365B4E" w:rsidP="00DC2DFF">
            <w:pPr>
              <w:jc w:val="center"/>
              <w:rPr>
                <w:b/>
              </w:rPr>
            </w:pPr>
            <w:r w:rsidRPr="001C3B3C">
              <w:rPr>
                <w:b/>
              </w:rPr>
              <w:t>Componente del programa de estudio</w:t>
            </w:r>
          </w:p>
          <w:p w:rsidR="00365B4E" w:rsidRPr="001C3B3C" w:rsidRDefault="00365B4E" w:rsidP="00DC2DFF">
            <w:pPr>
              <w:jc w:val="center"/>
              <w:rPr>
                <w:b/>
              </w:rPr>
            </w:pPr>
            <w:r w:rsidRPr="001C3B3C">
              <w:rPr>
                <w:b/>
              </w:rPr>
              <w:t>(contenido curricular procedimental)</w:t>
            </w:r>
          </w:p>
        </w:tc>
        <w:tc>
          <w:tcPr>
            <w:tcW w:w="2127" w:type="dxa"/>
            <w:vMerge/>
          </w:tcPr>
          <w:p w:rsidR="00365B4E" w:rsidRPr="001C3B3C" w:rsidRDefault="00365B4E" w:rsidP="00DC2DFF">
            <w:pPr>
              <w:jc w:val="center"/>
              <w:rPr>
                <w:b/>
              </w:rPr>
            </w:pPr>
          </w:p>
        </w:tc>
        <w:tc>
          <w:tcPr>
            <w:tcW w:w="6945" w:type="dxa"/>
            <w:vMerge/>
          </w:tcPr>
          <w:p w:rsidR="00365B4E" w:rsidRPr="001C3B3C" w:rsidRDefault="00365B4E" w:rsidP="00DC2DFF">
            <w:pPr>
              <w:jc w:val="center"/>
              <w:rPr>
                <w:b/>
              </w:rPr>
            </w:pPr>
          </w:p>
        </w:tc>
      </w:tr>
      <w:tr w:rsidR="00365B4E" w:rsidRPr="001C3B3C" w:rsidTr="00072DDA">
        <w:trPr>
          <w:trHeight w:val="983"/>
        </w:trPr>
        <w:tc>
          <w:tcPr>
            <w:tcW w:w="1852" w:type="dxa"/>
            <w:vAlign w:val="center"/>
          </w:tcPr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365B4E" w:rsidRPr="001C3B3C" w:rsidRDefault="00365B4E" w:rsidP="00DC2DFF">
            <w:pPr>
              <w:pStyle w:val="Sinespaciado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pStyle w:val="Sinespaciado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           Evaluación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(Determina que lo importante no es la respuesta correcta, sino </w:t>
            </w:r>
            <w:r w:rsidRPr="001C3B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aumentar la comprensión de algo paso a paso).</w:t>
            </w: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538135" w:themeColor="accent6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538135" w:themeColor="accent6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538135" w:themeColor="accent6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538135" w:themeColor="accent6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538135" w:themeColor="accent6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538135" w:themeColor="accent6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pStyle w:val="Sinespaciado"/>
              <w:jc w:val="center"/>
              <w:rPr>
                <w:rFonts w:asciiTheme="minorHAnsi" w:hAnsiTheme="minorHAnsi" w:cs="Arial"/>
                <w:color w:val="538135" w:themeColor="accent6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  <w:r w:rsidRPr="001C3B3C">
              <w:rPr>
                <w:b/>
                <w:color w:val="538135" w:themeColor="accent6" w:themeShade="BF"/>
              </w:rPr>
              <w:t xml:space="preserve"> </w:t>
            </w:r>
            <w:r w:rsidRPr="001C3B3C">
              <w:rPr>
                <w:color w:val="538135" w:themeColor="accent6" w:themeShade="BF"/>
              </w:rPr>
              <w:t>Evalúa y compara la veracidad de la información obtenida de distintas fuentes y por diferentes medios.</w:t>
            </w:r>
          </w:p>
          <w:p w:rsidR="00365B4E" w:rsidRPr="001C3B3C" w:rsidRDefault="00365B4E" w:rsidP="00DC2DFF">
            <w:pPr>
              <w:jc w:val="center"/>
              <w:rPr>
                <w:b/>
                <w:color w:val="538135" w:themeColor="accent6" w:themeShade="BF"/>
              </w:rPr>
            </w:pPr>
            <w:r w:rsidRPr="001C3B3C">
              <w:rPr>
                <w:b/>
                <w:color w:val="538135" w:themeColor="accent6" w:themeShade="BF"/>
              </w:rPr>
              <w:t xml:space="preserve"> Valoración de la información</w:t>
            </w: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  <w:r w:rsidRPr="001C3B3C">
              <w:rPr>
                <w:color w:val="538135" w:themeColor="accent6" w:themeShade="BF"/>
              </w:rPr>
              <w:t>Evalúa la manera en que puede influenciar los medios, las creencias y los comportamientos en la vida cotidiana. (</w:t>
            </w:r>
            <w:r w:rsidRPr="001C3B3C">
              <w:rPr>
                <w:b/>
                <w:color w:val="538135" w:themeColor="accent6" w:themeShade="BF"/>
              </w:rPr>
              <w:t>Integración de la información</w:t>
            </w:r>
            <w:r w:rsidRPr="001C3B3C">
              <w:rPr>
                <w:color w:val="538135" w:themeColor="accent6" w:themeShade="BF"/>
              </w:rPr>
              <w:t>)</w:t>
            </w: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rFonts w:cs="Arial"/>
                <w:color w:val="538135" w:themeColor="accent6" w:themeShade="BF"/>
              </w:rPr>
            </w:pPr>
          </w:p>
        </w:tc>
        <w:tc>
          <w:tcPr>
            <w:tcW w:w="2112" w:type="dxa"/>
          </w:tcPr>
          <w:p w:rsidR="00365B4E" w:rsidRPr="001C3B3C" w:rsidRDefault="00365B4E" w:rsidP="00DC2DFF">
            <w:pPr>
              <w:jc w:val="both"/>
            </w:pPr>
            <w:r w:rsidRPr="001C3B3C">
              <w:lastRenderedPageBreak/>
              <w:t>2.1 Utilización de técnicas personales de lectura silenciosa y dirigida en el desarrollo del gusto por leer.</w:t>
            </w:r>
          </w:p>
          <w:p w:rsidR="00365B4E" w:rsidRPr="001C3B3C" w:rsidRDefault="00365B4E" w:rsidP="00DC2DFF">
            <w:pPr>
              <w:jc w:val="both"/>
            </w:pPr>
          </w:p>
          <w:p w:rsidR="00365B4E" w:rsidRPr="001C3B3C" w:rsidRDefault="00365B4E" w:rsidP="00DC2DFF">
            <w:pPr>
              <w:jc w:val="both"/>
            </w:pPr>
            <w:r w:rsidRPr="001C3B3C">
              <w:t>(Elementos significativos en las prácticas lectoras.</w:t>
            </w:r>
          </w:p>
          <w:p w:rsidR="00365B4E" w:rsidRPr="001C3B3C" w:rsidRDefault="00365B4E" w:rsidP="00DC2DFF">
            <w:pPr>
              <w:jc w:val="both"/>
            </w:pPr>
            <w:r w:rsidRPr="001C3B3C">
              <w:t>Como:</w:t>
            </w:r>
          </w:p>
          <w:p w:rsidR="00365B4E" w:rsidRPr="001C3B3C" w:rsidRDefault="00365B4E" w:rsidP="00DC2DFF">
            <w:pPr>
              <w:jc w:val="both"/>
            </w:pPr>
            <w:r w:rsidRPr="001C3B3C">
              <w:t>· Conjeturas.</w:t>
            </w:r>
          </w:p>
          <w:p w:rsidR="00365B4E" w:rsidRPr="001C3B3C" w:rsidRDefault="00365B4E" w:rsidP="00DC2DFF">
            <w:pPr>
              <w:jc w:val="both"/>
            </w:pPr>
            <w:r w:rsidRPr="001C3B3C">
              <w:t>·Relación entre los conocimientos previos y el contenido.</w:t>
            </w:r>
          </w:p>
          <w:p w:rsidR="00365B4E" w:rsidRPr="001C3B3C" w:rsidRDefault="00365B4E" w:rsidP="00DC2DFF">
            <w:pPr>
              <w:jc w:val="both"/>
            </w:pPr>
            <w:r w:rsidRPr="001C3B3C">
              <w:t>· Analogías)</w:t>
            </w:r>
          </w:p>
          <w:p w:rsidR="00365B4E" w:rsidRPr="001C3B3C" w:rsidRDefault="00365B4E" w:rsidP="00DC2DFF">
            <w:pPr>
              <w:autoSpaceDE w:val="0"/>
              <w:autoSpaceDN w:val="0"/>
              <w:adjustRightInd w:val="0"/>
              <w:jc w:val="both"/>
              <w:rPr>
                <w:color w:val="538135" w:themeColor="accent6" w:themeShade="BF"/>
              </w:rPr>
            </w:pPr>
          </w:p>
        </w:tc>
        <w:tc>
          <w:tcPr>
            <w:tcW w:w="2127" w:type="dxa"/>
          </w:tcPr>
          <w:p w:rsidR="00365B4E" w:rsidRPr="001C3B3C" w:rsidRDefault="00365B4E" w:rsidP="00DC2DFF">
            <w:pPr>
              <w:pStyle w:val="Pa5"/>
              <w:jc w:val="center"/>
              <w:rPr>
                <w:rFonts w:asciiTheme="minorHAnsi" w:hAnsiTheme="minorHAnsi"/>
                <w:color w:val="538135" w:themeColor="accent6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pStyle w:val="Pa5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>Selecciona elementos significativos en las prácticas lectoras, tales como relación de título con el contenido, enseñanza, valores, antivalores, entre otros.</w:t>
            </w:r>
          </w:p>
          <w:p w:rsidR="00365B4E" w:rsidRPr="001C3B3C" w:rsidRDefault="00A100BA" w:rsidP="00DC2DFF">
            <w:pPr>
              <w:rPr>
                <w:color w:val="BF8F00" w:themeColor="accent4" w:themeShade="BF"/>
              </w:rPr>
            </w:pPr>
            <w:r w:rsidRPr="001C3B3C">
              <w:rPr>
                <w:color w:val="BF8F00" w:themeColor="accent4" w:themeShade="BF"/>
              </w:rPr>
              <w:t xml:space="preserve"> </w:t>
            </w:r>
          </w:p>
          <w:p w:rsidR="00365B4E" w:rsidRPr="001C3B3C" w:rsidRDefault="00365B4E" w:rsidP="00DC2DFF">
            <w:pPr>
              <w:rPr>
                <w:color w:val="BF8F00" w:themeColor="accent4" w:themeShade="BF"/>
              </w:rPr>
            </w:pPr>
          </w:p>
          <w:p w:rsidR="00365B4E" w:rsidRPr="001C3B3C" w:rsidRDefault="00365B4E" w:rsidP="00DC2DFF">
            <w:pPr>
              <w:pStyle w:val="Pa5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>Formula conjeturas en las prácticas lectoras.</w:t>
            </w:r>
          </w:p>
          <w:p w:rsidR="00365B4E" w:rsidRPr="001C3B3C" w:rsidRDefault="00365B4E" w:rsidP="00DC2DFF">
            <w:pPr>
              <w:pStyle w:val="Pa5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  <w:p w:rsidR="00365B4E" w:rsidRPr="001C3B3C" w:rsidRDefault="00365B4E" w:rsidP="00DC2DFF">
            <w:pPr>
              <w:rPr>
                <w:color w:val="BF8F00" w:themeColor="accent4" w:themeShade="BF"/>
              </w:rPr>
            </w:pPr>
          </w:p>
          <w:p w:rsidR="00365B4E" w:rsidRPr="001C3B3C" w:rsidRDefault="00365B4E" w:rsidP="00DC2DFF">
            <w:pPr>
              <w:pStyle w:val="Pa5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>Demuestra la relación entre los conocimientos previos y el contenido.</w:t>
            </w:r>
          </w:p>
          <w:p w:rsidR="00365B4E" w:rsidRPr="001C3B3C" w:rsidRDefault="00365B4E" w:rsidP="00DC2DFF">
            <w:pPr>
              <w:rPr>
                <w:color w:val="BF8F00" w:themeColor="accent4" w:themeShade="BF"/>
              </w:rPr>
            </w:pPr>
          </w:p>
          <w:p w:rsidR="00365B4E" w:rsidRPr="001C3B3C" w:rsidRDefault="00365B4E" w:rsidP="00DC2DFF">
            <w:pPr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rFonts w:eastAsia="Times New Roman" w:cs="Arial"/>
                <w:color w:val="538135" w:themeColor="accent6" w:themeShade="BF"/>
                <w:lang w:eastAsia="es-ES"/>
              </w:rPr>
            </w:pPr>
          </w:p>
          <w:p w:rsidR="00365B4E" w:rsidRPr="001C3B3C" w:rsidRDefault="00365B4E" w:rsidP="00DC2DFF">
            <w:pPr>
              <w:jc w:val="center"/>
              <w:rPr>
                <w:rFonts w:eastAsia="Times New Roman" w:cs="Arial"/>
                <w:color w:val="538135" w:themeColor="accent6" w:themeShade="BF"/>
                <w:lang w:eastAsia="es-ES"/>
              </w:rPr>
            </w:pPr>
          </w:p>
          <w:p w:rsidR="00365B4E" w:rsidRPr="001C3B3C" w:rsidRDefault="00365B4E" w:rsidP="00DC2DFF">
            <w:pPr>
              <w:jc w:val="center"/>
              <w:rPr>
                <w:rFonts w:eastAsia="Times New Roman" w:cs="Arial"/>
                <w:color w:val="538135" w:themeColor="accent6" w:themeShade="BF"/>
                <w:lang w:eastAsia="es-ES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  <w:r w:rsidRPr="001C3B3C">
              <w:rPr>
                <w:color w:val="538135" w:themeColor="accent6" w:themeShade="BF"/>
              </w:rPr>
              <w:t>Describe ideas relevantes e irrelevantes de la información obtenida a partir de la lectura.</w:t>
            </w: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</w:p>
          <w:p w:rsidR="00365B4E" w:rsidRPr="001C3B3C" w:rsidRDefault="00365B4E" w:rsidP="00DC2DFF">
            <w:pPr>
              <w:jc w:val="center"/>
              <w:rPr>
                <w:color w:val="538135" w:themeColor="accent6" w:themeShade="BF"/>
              </w:rPr>
            </w:pPr>
            <w:r w:rsidRPr="001C3B3C">
              <w:rPr>
                <w:color w:val="538135" w:themeColor="accent6" w:themeShade="BF"/>
              </w:rPr>
              <w:t>Relaciona la  información obtenida  presente en el texto leído con situaciones reales (establece analogías).</w:t>
            </w:r>
          </w:p>
          <w:p w:rsidR="00365B4E" w:rsidRPr="001C3B3C" w:rsidRDefault="00365B4E" w:rsidP="00DC2DFF">
            <w:pPr>
              <w:jc w:val="center"/>
              <w:rPr>
                <w:rFonts w:eastAsia="Times New Roman" w:cs="Arial"/>
                <w:color w:val="538135" w:themeColor="accent6" w:themeShade="BF"/>
                <w:lang w:eastAsia="es-ES"/>
              </w:rPr>
            </w:pPr>
          </w:p>
          <w:p w:rsidR="00365B4E" w:rsidRPr="001C3B3C" w:rsidRDefault="00365B4E" w:rsidP="00DC2DFF">
            <w:pPr>
              <w:rPr>
                <w:color w:val="538135" w:themeColor="accent6" w:themeShade="BF"/>
              </w:rPr>
            </w:pPr>
          </w:p>
        </w:tc>
        <w:tc>
          <w:tcPr>
            <w:tcW w:w="6945" w:type="dxa"/>
          </w:tcPr>
          <w:p w:rsidR="00AF696F" w:rsidRPr="001C3B3C" w:rsidRDefault="00AF696F" w:rsidP="00127F05">
            <w:pPr>
              <w:autoSpaceDE w:val="0"/>
              <w:autoSpaceDN w:val="0"/>
              <w:adjustRightInd w:val="0"/>
              <w:jc w:val="both"/>
            </w:pPr>
            <w:r w:rsidRPr="001C3B3C">
              <w:lastRenderedPageBreak/>
              <w:t>Utilización de técnicas personales de lectura</w:t>
            </w:r>
            <w:r w:rsidR="00127F05" w:rsidRPr="001C3B3C">
              <w:t xml:space="preserve"> </w:t>
            </w:r>
            <w:r w:rsidRPr="001C3B3C">
              <w:t>silenciosa y dirigida en el desarrollo del gusto por</w:t>
            </w:r>
            <w:r w:rsidR="00127F05" w:rsidRPr="001C3B3C">
              <w:t xml:space="preserve"> </w:t>
            </w:r>
            <w:r w:rsidRPr="001C3B3C">
              <w:t>leer.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jc w:val="both"/>
            </w:pPr>
          </w:p>
          <w:p w:rsidR="00AF696F" w:rsidRPr="001C3B3C" w:rsidRDefault="00AF696F" w:rsidP="00127F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C3B3C">
              <w:rPr>
                <w:b/>
              </w:rPr>
              <w:t>2.1. Actividades iniciales: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AF696F" w:rsidRPr="001C3B3C" w:rsidRDefault="00AF696F" w:rsidP="00127F05">
            <w:pPr>
              <w:autoSpaceDE w:val="0"/>
              <w:autoSpaceDN w:val="0"/>
              <w:adjustRightInd w:val="0"/>
              <w:jc w:val="both"/>
            </w:pPr>
            <w:r w:rsidRPr="001C3B3C">
              <w:t>-Para la práctica de la “lectura recreativa” se habilita</w:t>
            </w:r>
            <w:r w:rsidR="00127F05" w:rsidRPr="001C3B3C">
              <w:t xml:space="preserve"> </w:t>
            </w:r>
            <w:r w:rsidRPr="001C3B3C">
              <w:t>el espacio de veinte minutos diarios propuestos en el</w:t>
            </w:r>
            <w:r w:rsidR="00127F05" w:rsidRPr="001C3B3C">
              <w:t xml:space="preserve"> </w:t>
            </w:r>
            <w:r w:rsidRPr="001C3B3C">
              <w:t>Plan de Fomento de Lectura emanado del Ministerio</w:t>
            </w:r>
            <w:r w:rsidR="00127F05" w:rsidRPr="001C3B3C">
              <w:t xml:space="preserve"> </w:t>
            </w:r>
            <w:r w:rsidRPr="001C3B3C">
              <w:t xml:space="preserve">de Educación Pública. </w:t>
            </w:r>
            <w:r w:rsidR="00127F05" w:rsidRPr="001C3B3C">
              <w:t xml:space="preserve"> Esta actividad se </w:t>
            </w:r>
            <w:r w:rsidRPr="001C3B3C">
              <w:t>sugiere que se establezca en</w:t>
            </w:r>
            <w:r w:rsidR="00127F05" w:rsidRPr="001C3B3C">
              <w:t xml:space="preserve"> </w:t>
            </w:r>
            <w:r w:rsidRPr="001C3B3C">
              <w:t>las actividades iniciales del día lectivo; sin embargo,</w:t>
            </w:r>
            <w:r w:rsidR="00127F05" w:rsidRPr="001C3B3C">
              <w:t xml:space="preserve"> </w:t>
            </w:r>
            <w:r w:rsidRPr="001C3B3C">
              <w:t>queda sujeto a la decisión del centro educativo. No</w:t>
            </w:r>
            <w:r w:rsidR="00127F05" w:rsidRPr="001C3B3C">
              <w:t xml:space="preserve"> </w:t>
            </w:r>
            <w:r w:rsidRPr="001C3B3C">
              <w:t xml:space="preserve">es una actividad única de la asignatura de </w:t>
            </w:r>
            <w:proofErr w:type="gramStart"/>
            <w:r w:rsidRPr="001C3B3C">
              <w:t>Español</w:t>
            </w:r>
            <w:proofErr w:type="gramEnd"/>
            <w:r w:rsidRPr="001C3B3C">
              <w:t>. Si</w:t>
            </w:r>
            <w:r w:rsidR="00127F05" w:rsidRPr="001C3B3C">
              <w:t xml:space="preserve"> </w:t>
            </w:r>
            <w:r w:rsidRPr="001C3B3C">
              <w:t>en el momento asignado para estos veinte minutos</w:t>
            </w:r>
            <w:r w:rsidR="00127F05" w:rsidRPr="001C3B3C">
              <w:t xml:space="preserve"> </w:t>
            </w:r>
            <w:r w:rsidRPr="001C3B3C">
              <w:t>de lectura, se está impartiendo otra asignatura, el</w:t>
            </w:r>
            <w:r w:rsidR="00127F05" w:rsidRPr="001C3B3C">
              <w:t xml:space="preserve"> </w:t>
            </w:r>
            <w:r w:rsidRPr="001C3B3C">
              <w:t>educador (a) asume el desarrollo de la estrategia.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jc w:val="both"/>
            </w:pPr>
          </w:p>
          <w:p w:rsidR="00127F05" w:rsidRPr="001C3B3C" w:rsidRDefault="00AF696F" w:rsidP="00127F05">
            <w:pPr>
              <w:autoSpaceDE w:val="0"/>
              <w:autoSpaceDN w:val="0"/>
              <w:adjustRightInd w:val="0"/>
              <w:jc w:val="both"/>
            </w:pPr>
            <w:r w:rsidRPr="001C3B3C">
              <w:t xml:space="preserve">En </w:t>
            </w:r>
            <w:proofErr w:type="gramStart"/>
            <w:r w:rsidRPr="001C3B3C">
              <w:t>Español</w:t>
            </w:r>
            <w:proofErr w:type="gramEnd"/>
            <w:r w:rsidRPr="001C3B3C">
              <w:t xml:space="preserve"> se utilizan los títulos de textos literarios</w:t>
            </w:r>
            <w:r w:rsidR="00127F05" w:rsidRPr="001C3B3C">
              <w:t xml:space="preserve"> </w:t>
            </w:r>
            <w:r w:rsidRPr="001C3B3C">
              <w:t>para el I y II Ciclos de la Educación General Básica. Es</w:t>
            </w:r>
            <w:r w:rsidR="00127F05" w:rsidRPr="001C3B3C">
              <w:t xml:space="preserve"> </w:t>
            </w:r>
            <w:r w:rsidRPr="001C3B3C">
              <w:t>importante recrear o prever un lugar estimulante para</w:t>
            </w:r>
            <w:r w:rsidR="00127F05" w:rsidRPr="001C3B3C">
              <w:t xml:space="preserve"> </w:t>
            </w:r>
            <w:r w:rsidRPr="001C3B3C">
              <w:t>la lectura recreativa. Se pueden considerar espacios al</w:t>
            </w:r>
            <w:r w:rsidR="00127F05" w:rsidRPr="001C3B3C">
              <w:t xml:space="preserve"> </w:t>
            </w:r>
            <w:r w:rsidRPr="001C3B3C">
              <w:t>aire libre o espacios de lectura creados en la misma</w:t>
            </w:r>
            <w:r w:rsidR="00127F05" w:rsidRPr="001C3B3C">
              <w:t xml:space="preserve"> </w:t>
            </w:r>
            <w:r w:rsidRPr="001C3B3C">
              <w:t>aula.</w:t>
            </w:r>
            <w:r w:rsidR="00127F05" w:rsidRPr="001C3B3C">
              <w:t xml:space="preserve">  La lista de lecturas sugeridas está en el acuerdo </w:t>
            </w:r>
            <w:r w:rsidR="00127F05" w:rsidRPr="001C3B3C">
              <w:rPr>
                <w:b/>
              </w:rPr>
              <w:t>04-36-2017</w:t>
            </w:r>
            <w:r w:rsidR="00127F05" w:rsidRPr="001C3B3C">
              <w:t xml:space="preserve"> del Consejo Superior de Educación. </w:t>
            </w:r>
          </w:p>
          <w:p w:rsidR="00127F05" w:rsidRPr="001C3B3C" w:rsidRDefault="002D25DE" w:rsidP="00127F05">
            <w:pPr>
              <w:autoSpaceDE w:val="0"/>
              <w:autoSpaceDN w:val="0"/>
              <w:adjustRightInd w:val="0"/>
              <w:jc w:val="both"/>
            </w:pPr>
            <w:hyperlink r:id="rId8" w:history="1">
              <w:r w:rsidR="00127F05" w:rsidRPr="001C3B3C">
                <w:rPr>
                  <w:rStyle w:val="Hipervnculo"/>
                </w:rPr>
                <w:t>http://www.ddc.mep.go.cr/sites/all/files/ddc_mep_go_cr/archivos/literatura_recomendada_2018_0.pdf</w:t>
              </w:r>
            </w:hyperlink>
            <w:r w:rsidR="00127F05" w:rsidRPr="001C3B3C">
              <w:t xml:space="preserve"> 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ind w:right="1192"/>
              <w:jc w:val="both"/>
            </w:pPr>
          </w:p>
          <w:p w:rsidR="00AF696F" w:rsidRPr="001C3B3C" w:rsidRDefault="00AF696F" w:rsidP="00127F05">
            <w:pPr>
              <w:autoSpaceDE w:val="0"/>
              <w:autoSpaceDN w:val="0"/>
              <w:adjustRightInd w:val="0"/>
              <w:ind w:right="-108"/>
              <w:jc w:val="both"/>
            </w:pPr>
            <w:r w:rsidRPr="001C3B3C">
              <w:t>Durante este periodo, el docente es flexible con</w:t>
            </w:r>
            <w:r w:rsidR="00127F05" w:rsidRPr="001C3B3C">
              <w:t xml:space="preserve"> </w:t>
            </w:r>
            <w:r w:rsidRPr="001C3B3C">
              <w:t xml:space="preserve">las </w:t>
            </w:r>
            <w:r w:rsidR="00127F05" w:rsidRPr="001C3B3C">
              <w:t xml:space="preserve">  c</w:t>
            </w:r>
            <w:r w:rsidRPr="001C3B3C">
              <w:t>ondiciones ambientales pues hay estudiantes</w:t>
            </w:r>
            <w:r w:rsidR="00127F05" w:rsidRPr="001C3B3C">
              <w:t xml:space="preserve"> </w:t>
            </w:r>
            <w:r w:rsidRPr="001C3B3C">
              <w:t>que gustan leer de pie, caminando, sentados, en voz</w:t>
            </w:r>
            <w:r w:rsidR="00127F05" w:rsidRPr="001C3B3C">
              <w:t xml:space="preserve"> </w:t>
            </w:r>
            <w:r w:rsidRPr="001C3B3C">
              <w:lastRenderedPageBreak/>
              <w:t>alta, individual, en parejas, entre otros. Lo importante</w:t>
            </w:r>
            <w:r w:rsidR="00127F05" w:rsidRPr="001C3B3C">
              <w:t xml:space="preserve"> </w:t>
            </w:r>
            <w:r w:rsidRPr="001C3B3C">
              <w:t>es la comodidad y disfrute de la lectura.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jc w:val="both"/>
            </w:pPr>
          </w:p>
          <w:p w:rsidR="00AF696F" w:rsidRPr="001C3B3C" w:rsidRDefault="00AF696F" w:rsidP="00127F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C3B3C">
              <w:rPr>
                <w:b/>
              </w:rPr>
              <w:t>Actividades de desarrollo: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AF696F" w:rsidRPr="001C3B3C" w:rsidRDefault="00AF696F" w:rsidP="00127F05">
            <w:pPr>
              <w:autoSpaceDE w:val="0"/>
              <w:autoSpaceDN w:val="0"/>
              <w:adjustRightInd w:val="0"/>
              <w:jc w:val="both"/>
            </w:pPr>
            <w:r w:rsidRPr="001C3B3C">
              <w:t>-Durante el desarrollo de esta estrategia es importante</w:t>
            </w:r>
            <w:r w:rsidR="00127F05" w:rsidRPr="001C3B3C">
              <w:t xml:space="preserve"> </w:t>
            </w:r>
            <w:r w:rsidRPr="001C3B3C">
              <w:t>que el educador (a) lea a los estudiantes y también</w:t>
            </w:r>
            <w:r w:rsidR="00127F05" w:rsidRPr="001C3B3C">
              <w:t xml:space="preserve"> </w:t>
            </w:r>
            <w:r w:rsidRPr="001C3B3C">
              <w:t>lea con ellos.</w:t>
            </w:r>
            <w:r w:rsidR="00127F05" w:rsidRPr="001C3B3C">
              <w:t xml:space="preserve"> </w:t>
            </w:r>
            <w:r w:rsidRPr="001C3B3C">
              <w:t xml:space="preserve"> El niño(a) vive la magia de un texto</w:t>
            </w:r>
            <w:r w:rsidR="00127F05" w:rsidRPr="001C3B3C">
              <w:t xml:space="preserve"> </w:t>
            </w:r>
            <w:r w:rsidRPr="001C3B3C">
              <w:t>seleccionado a su gusto y por disfrute. Estos podrían</w:t>
            </w:r>
            <w:r w:rsidR="00127F05" w:rsidRPr="001C3B3C">
              <w:t xml:space="preserve"> </w:t>
            </w:r>
            <w:r w:rsidRPr="001C3B3C">
              <w:t>ser los de la lista de títulos de lecturas literarias para el</w:t>
            </w:r>
            <w:r w:rsidR="00127F05" w:rsidRPr="001C3B3C">
              <w:t xml:space="preserve"> </w:t>
            </w:r>
            <w:r w:rsidRPr="001C3B3C">
              <w:t>II Ciclo, ubicados en el marco del Plan de Fomento dela Lectura</w:t>
            </w:r>
            <w:r w:rsidR="00127F05" w:rsidRPr="001C3B3C">
              <w:t xml:space="preserve"> (anexo 1 del programa de estudia)</w:t>
            </w:r>
            <w:r w:rsidRPr="001C3B3C">
              <w:t>. Una vez seleccionado expresan, mediante</w:t>
            </w:r>
            <w:r w:rsidR="00127F05" w:rsidRPr="001C3B3C">
              <w:t xml:space="preserve"> </w:t>
            </w:r>
            <w:r w:rsidRPr="001C3B3C">
              <w:t>un conversatorio, conjeturas sobre el argumento del</w:t>
            </w:r>
            <w:r w:rsidR="00127F05" w:rsidRPr="001C3B3C">
              <w:t xml:space="preserve"> </w:t>
            </w:r>
            <w:r w:rsidRPr="001C3B3C">
              <w:t>texto que surjan a partir de la portada. El docente</w:t>
            </w:r>
            <w:r w:rsidR="00127F05" w:rsidRPr="001C3B3C">
              <w:t xml:space="preserve"> </w:t>
            </w:r>
            <w:r w:rsidRPr="001C3B3C">
              <w:t>lee en voz alta (conforme pase el tiempo se puede</w:t>
            </w:r>
            <w:r w:rsidR="00127F05" w:rsidRPr="001C3B3C">
              <w:t xml:space="preserve"> </w:t>
            </w:r>
            <w:r w:rsidRPr="001C3B3C">
              <w:t>practicar, esporádicamente, la lectura individual,</w:t>
            </w:r>
            <w:r w:rsidR="00127F05" w:rsidRPr="001C3B3C">
              <w:t xml:space="preserve"> </w:t>
            </w:r>
            <w:r w:rsidRPr="001C3B3C">
              <w:t>dirigida o colectiva). En subgrupos, se selecciona</w:t>
            </w:r>
            <w:r w:rsidR="00127F05" w:rsidRPr="001C3B3C">
              <w:t xml:space="preserve"> </w:t>
            </w:r>
            <w:r w:rsidRPr="001C3B3C">
              <w:t>a uno de los personajes y se elaboran su propio</w:t>
            </w:r>
            <w:r w:rsidR="00127F05" w:rsidRPr="001C3B3C">
              <w:t xml:space="preserve"> </w:t>
            </w:r>
            <w:r w:rsidRPr="001C3B3C">
              <w:t>disfraz. Crean un guion que permita transmitir de</w:t>
            </w:r>
            <w:r w:rsidR="00127F05" w:rsidRPr="001C3B3C">
              <w:t xml:space="preserve"> </w:t>
            </w:r>
            <w:r w:rsidRPr="001C3B3C">
              <w:t>manera concreta el argumento del texto y al mismo</w:t>
            </w:r>
            <w:r w:rsidR="00127F05" w:rsidRPr="001C3B3C">
              <w:t xml:space="preserve"> </w:t>
            </w:r>
            <w:r w:rsidRPr="001C3B3C">
              <w:t>tiempo reflexionan sobre la relación de las conjeturas</w:t>
            </w:r>
            <w:r w:rsidR="00127F05" w:rsidRPr="001C3B3C">
              <w:t xml:space="preserve"> </w:t>
            </w:r>
            <w:r w:rsidRPr="001C3B3C">
              <w:t>realizadas y lo leído. En una plenaria representan su</w:t>
            </w:r>
            <w:r w:rsidR="00127F05" w:rsidRPr="001C3B3C">
              <w:t xml:space="preserve"> </w:t>
            </w:r>
            <w:r w:rsidRPr="001C3B3C">
              <w:t>creación ante el grupo.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jc w:val="both"/>
            </w:pPr>
          </w:p>
          <w:p w:rsidR="00AF696F" w:rsidRPr="001C3B3C" w:rsidRDefault="00127F05" w:rsidP="00127F05">
            <w:pPr>
              <w:autoSpaceDE w:val="0"/>
              <w:autoSpaceDN w:val="0"/>
              <w:adjustRightInd w:val="0"/>
              <w:jc w:val="both"/>
            </w:pPr>
            <w:r w:rsidRPr="001C3B3C">
              <w:t>-</w:t>
            </w:r>
            <w:r w:rsidR="00AF696F" w:rsidRPr="001C3B3C">
              <w:t>Esta actividad se extiende durante varios espacios</w:t>
            </w:r>
            <w:r w:rsidRPr="001C3B3C">
              <w:t xml:space="preserve"> </w:t>
            </w:r>
            <w:r w:rsidR="00AF696F" w:rsidRPr="001C3B3C">
              <w:t>asignados para la lectura recreativa, según la</w:t>
            </w:r>
            <w:r w:rsidRPr="001C3B3C">
              <w:t xml:space="preserve"> </w:t>
            </w:r>
            <w:r w:rsidR="00AF696F" w:rsidRPr="001C3B3C">
              <w:t>planificación del docente y el desarrollo de la</w:t>
            </w:r>
            <w:r w:rsidRPr="001C3B3C">
              <w:t xml:space="preserve"> </w:t>
            </w:r>
            <w:r w:rsidR="00AF696F" w:rsidRPr="001C3B3C">
              <w:t>estrategia.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jc w:val="both"/>
            </w:pPr>
          </w:p>
          <w:p w:rsidR="00AF696F" w:rsidRPr="001C3B3C" w:rsidRDefault="00AF696F" w:rsidP="00127F05">
            <w:pPr>
              <w:autoSpaceDE w:val="0"/>
              <w:autoSpaceDN w:val="0"/>
              <w:adjustRightInd w:val="0"/>
              <w:jc w:val="both"/>
            </w:pPr>
            <w:r w:rsidRPr="001C3B3C">
              <w:t>-El educador (a) comenta al grupo el nombre de una</w:t>
            </w:r>
            <w:r w:rsidR="00127F05" w:rsidRPr="001C3B3C">
              <w:t xml:space="preserve"> </w:t>
            </w:r>
            <w:r w:rsidRPr="001C3B3C">
              <w:t>fábula o un cuento cuyos personajes principales</w:t>
            </w:r>
            <w:r w:rsidR="00127F05" w:rsidRPr="001C3B3C">
              <w:t xml:space="preserve"> </w:t>
            </w:r>
            <w:r w:rsidRPr="001C3B3C">
              <w:t>sean animales. El estudiante expresa conocimientos</w:t>
            </w:r>
            <w:r w:rsidR="00127F05" w:rsidRPr="001C3B3C">
              <w:t xml:space="preserve"> </w:t>
            </w:r>
            <w:r w:rsidRPr="001C3B3C">
              <w:t>previos que tenga sobre el texto. El maestro (a)</w:t>
            </w:r>
            <w:r w:rsidR="00127F05" w:rsidRPr="001C3B3C">
              <w:t xml:space="preserve"> </w:t>
            </w:r>
            <w:r w:rsidRPr="001C3B3C">
              <w:t>realiza la lectura en voz alta cuidando las pausas y los</w:t>
            </w:r>
            <w:r w:rsidR="00127F05" w:rsidRPr="001C3B3C">
              <w:t xml:space="preserve"> </w:t>
            </w:r>
            <w:r w:rsidRPr="001C3B3C">
              <w:t>cambios en la entonación. Mediante un conversatorio,</w:t>
            </w:r>
            <w:r w:rsidR="00127F05" w:rsidRPr="001C3B3C">
              <w:t xml:space="preserve"> </w:t>
            </w:r>
            <w:r w:rsidRPr="001C3B3C">
              <w:t>cada estudiante identifica los animales de la historia</w:t>
            </w:r>
            <w:r w:rsidR="00127F05" w:rsidRPr="001C3B3C">
              <w:t xml:space="preserve"> </w:t>
            </w:r>
            <w:r w:rsidRPr="001C3B3C">
              <w:t>y selecciona el que más le gusta. El grupo produce</w:t>
            </w:r>
            <w:r w:rsidR="00127F05" w:rsidRPr="001C3B3C">
              <w:t xml:space="preserve"> </w:t>
            </w:r>
            <w:r w:rsidRPr="001C3B3C">
              <w:t>sonidos similares a los que emite el animal elegido.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jc w:val="both"/>
            </w:pPr>
          </w:p>
          <w:p w:rsidR="00365B4E" w:rsidRPr="001C3B3C" w:rsidRDefault="00AF696F" w:rsidP="00127F05">
            <w:pPr>
              <w:autoSpaceDE w:val="0"/>
              <w:autoSpaceDN w:val="0"/>
              <w:adjustRightInd w:val="0"/>
              <w:jc w:val="both"/>
            </w:pPr>
            <w:r w:rsidRPr="001C3B3C">
              <w:t>El docente solicita a sus estudiantes que produzcan</w:t>
            </w:r>
            <w:r w:rsidR="00127F05" w:rsidRPr="001C3B3C">
              <w:t xml:space="preserve"> </w:t>
            </w:r>
            <w:r w:rsidRPr="001C3B3C">
              <w:t>sonidos de un animal primero (por ejemplo: primero</w:t>
            </w:r>
            <w:r w:rsidR="00127F05" w:rsidRPr="001C3B3C">
              <w:t xml:space="preserve"> </w:t>
            </w:r>
            <w:r w:rsidRPr="001C3B3C">
              <w:t xml:space="preserve">el de las vacas), luego de otro y </w:t>
            </w:r>
            <w:r w:rsidRPr="001C3B3C">
              <w:lastRenderedPageBreak/>
              <w:t>posteriormente el</w:t>
            </w:r>
            <w:r w:rsidR="00127F05" w:rsidRPr="001C3B3C">
              <w:t xml:space="preserve"> </w:t>
            </w:r>
            <w:r w:rsidRPr="001C3B3C">
              <w:t>de todos juntos. Conversan sobre la relación entre</w:t>
            </w:r>
            <w:r w:rsidR="00127F05" w:rsidRPr="001C3B3C">
              <w:t xml:space="preserve"> </w:t>
            </w:r>
            <w:r w:rsidRPr="001C3B3C">
              <w:t>los conocimientos previos y el contenido del texto</w:t>
            </w:r>
            <w:r w:rsidR="00127F05" w:rsidRPr="001C3B3C">
              <w:t xml:space="preserve"> </w:t>
            </w:r>
            <w:r w:rsidRPr="001C3B3C">
              <w:t>escuchado. Se reúnen en subgrupos (se procura</w:t>
            </w:r>
            <w:r w:rsidR="00127F05" w:rsidRPr="001C3B3C">
              <w:t xml:space="preserve"> </w:t>
            </w:r>
            <w:r w:rsidRPr="001C3B3C">
              <w:t>que estos queden conformados por estudiantes</w:t>
            </w:r>
            <w:r w:rsidR="00127F05" w:rsidRPr="001C3B3C">
              <w:t xml:space="preserve"> </w:t>
            </w:r>
            <w:r w:rsidRPr="001C3B3C">
              <w:t>que hayan seleccionado diferentes animales). En el</w:t>
            </w:r>
            <w:r w:rsidR="00127F05" w:rsidRPr="001C3B3C">
              <w:t xml:space="preserve"> </w:t>
            </w:r>
            <w:r w:rsidRPr="001C3B3C">
              <w:t>subgrupo construyen un cuento breve que incluya</w:t>
            </w:r>
            <w:r w:rsidR="00127F05" w:rsidRPr="001C3B3C">
              <w:t xml:space="preserve"> </w:t>
            </w:r>
            <w:r w:rsidRPr="001C3B3C">
              <w:t>los animales representados como personajes de esa</w:t>
            </w:r>
            <w:r w:rsidR="00127F05" w:rsidRPr="001C3B3C">
              <w:t xml:space="preserve"> </w:t>
            </w:r>
            <w:r w:rsidRPr="001C3B3C">
              <w:t>historia. Coordinan cómo harán la lectura del cuento</w:t>
            </w:r>
            <w:r w:rsidR="00127F05" w:rsidRPr="001C3B3C">
              <w:t xml:space="preserve"> </w:t>
            </w:r>
            <w:r w:rsidRPr="001C3B3C">
              <w:t>ante sus compañeros (as) y en esta, incorporan los</w:t>
            </w:r>
            <w:r w:rsidR="00127F05" w:rsidRPr="001C3B3C">
              <w:t xml:space="preserve"> </w:t>
            </w:r>
            <w:r w:rsidRPr="001C3B3C">
              <w:t>sonidos que emiten los animales incluidos. El docente</w:t>
            </w:r>
            <w:r w:rsidR="00127F05" w:rsidRPr="001C3B3C">
              <w:t xml:space="preserve"> </w:t>
            </w:r>
            <w:r w:rsidRPr="001C3B3C">
              <w:t>planifica la presentación de los cuentos creados</w:t>
            </w:r>
            <w:r w:rsidR="00127F05" w:rsidRPr="001C3B3C">
              <w:t xml:space="preserve"> </w:t>
            </w:r>
            <w:r w:rsidRPr="001C3B3C">
              <w:t>durante los periodos de lectura recreativa. Todo esto</w:t>
            </w:r>
            <w:r w:rsidR="00127F05" w:rsidRPr="001C3B3C">
              <w:t xml:space="preserve"> </w:t>
            </w:r>
            <w:r w:rsidRPr="001C3B3C">
              <w:t>para el disfrute del grupo.</w:t>
            </w:r>
          </w:p>
          <w:p w:rsidR="00127F05" w:rsidRPr="001C3B3C" w:rsidRDefault="00127F05" w:rsidP="00127F05">
            <w:pPr>
              <w:autoSpaceDE w:val="0"/>
              <w:autoSpaceDN w:val="0"/>
              <w:adjustRightInd w:val="0"/>
              <w:jc w:val="both"/>
            </w:pPr>
          </w:p>
          <w:p w:rsidR="00AF696F" w:rsidRPr="001C3B3C" w:rsidRDefault="00AF696F" w:rsidP="00127F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C3B3C">
              <w:rPr>
                <w:b/>
              </w:rPr>
              <w:t>Actividades de cierre:</w:t>
            </w:r>
          </w:p>
          <w:p w:rsidR="00AF696F" w:rsidRPr="001C3B3C" w:rsidRDefault="00AF696F" w:rsidP="00127F05">
            <w:pPr>
              <w:autoSpaceDE w:val="0"/>
              <w:autoSpaceDN w:val="0"/>
              <w:adjustRightInd w:val="0"/>
              <w:jc w:val="both"/>
            </w:pPr>
            <w:r w:rsidRPr="001C3B3C">
              <w:t>-El docente combina diferentes técnicas de lectura</w:t>
            </w:r>
            <w:r w:rsidR="00127F05" w:rsidRPr="001C3B3C">
              <w:t xml:space="preserve"> </w:t>
            </w:r>
            <w:r w:rsidRPr="001C3B3C">
              <w:t>recreativa, entre estas, aquellas donde se elaboren</w:t>
            </w:r>
            <w:r w:rsidR="0043074E" w:rsidRPr="001C3B3C">
              <w:t xml:space="preserve"> </w:t>
            </w:r>
            <w:r w:rsidRPr="001C3B3C">
              <w:t>analogías a partir de textos escuchados, se participe</w:t>
            </w:r>
            <w:r w:rsidR="0043074E" w:rsidRPr="001C3B3C">
              <w:t xml:space="preserve"> </w:t>
            </w:r>
            <w:r w:rsidRPr="001C3B3C">
              <w:t>de la lectura grupal (por ejemplo un estudiante inicia</w:t>
            </w:r>
            <w:r w:rsidR="0043074E" w:rsidRPr="001C3B3C">
              <w:t xml:space="preserve"> </w:t>
            </w:r>
            <w:r w:rsidRPr="001C3B3C">
              <w:t>la lectura, otro la sigue y el educador (a) continúa).</w:t>
            </w:r>
          </w:p>
          <w:p w:rsidR="0043074E" w:rsidRPr="001C3B3C" w:rsidRDefault="0043074E" w:rsidP="00127F05">
            <w:pPr>
              <w:autoSpaceDE w:val="0"/>
              <w:autoSpaceDN w:val="0"/>
              <w:adjustRightInd w:val="0"/>
              <w:jc w:val="both"/>
            </w:pPr>
          </w:p>
          <w:p w:rsidR="00AF696F" w:rsidRPr="001C3B3C" w:rsidRDefault="0043074E" w:rsidP="0043074E">
            <w:pPr>
              <w:autoSpaceDE w:val="0"/>
              <w:autoSpaceDN w:val="0"/>
              <w:adjustRightInd w:val="0"/>
              <w:jc w:val="both"/>
            </w:pPr>
            <w:r w:rsidRPr="001C3B3C">
              <w:t>-</w:t>
            </w:r>
            <w:r w:rsidR="00AF696F" w:rsidRPr="001C3B3C">
              <w:t>Lectura en parejas, donde un estudiante lee a otro y</w:t>
            </w:r>
            <w:r w:rsidRPr="001C3B3C">
              <w:t xml:space="preserve"> </w:t>
            </w:r>
            <w:r w:rsidR="00AF696F" w:rsidRPr="001C3B3C">
              <w:t>viceversa. Lectura realizada para el grupo por parte</w:t>
            </w:r>
            <w:r w:rsidRPr="001C3B3C">
              <w:t xml:space="preserve"> </w:t>
            </w:r>
            <w:r w:rsidR="00AF696F" w:rsidRPr="001C3B3C">
              <w:t>de un estudiante. Invitar a personas importantes</w:t>
            </w:r>
            <w:r w:rsidRPr="001C3B3C">
              <w:t xml:space="preserve"> </w:t>
            </w:r>
            <w:r w:rsidR="00AF696F" w:rsidRPr="001C3B3C">
              <w:t>para el estudiante y leer en su compañía: familiares,</w:t>
            </w:r>
            <w:r w:rsidRPr="001C3B3C">
              <w:t xml:space="preserve"> </w:t>
            </w:r>
            <w:r w:rsidR="00AF696F" w:rsidRPr="001C3B3C">
              <w:t>los abuelos y abuelas, miembros del personal,</w:t>
            </w:r>
            <w:r w:rsidRPr="001C3B3C">
              <w:t xml:space="preserve"> </w:t>
            </w:r>
            <w:r w:rsidR="00AF696F" w:rsidRPr="001C3B3C">
              <w:t>invitados especiales: cuentacuentos, personajes de la</w:t>
            </w:r>
            <w:r w:rsidRPr="001C3B3C">
              <w:t xml:space="preserve"> </w:t>
            </w:r>
            <w:r w:rsidR="00AF696F" w:rsidRPr="001C3B3C">
              <w:t>comunidad, entre otros. Es importante recordar que</w:t>
            </w:r>
            <w:r w:rsidRPr="001C3B3C">
              <w:t xml:space="preserve"> </w:t>
            </w:r>
            <w:r w:rsidR="00AF696F" w:rsidRPr="001C3B3C">
              <w:t>el docente es protagonista en la estrategia, lee a sus</w:t>
            </w:r>
            <w:r w:rsidRPr="001C3B3C">
              <w:t xml:space="preserve"> </w:t>
            </w:r>
            <w:r w:rsidR="00AF696F" w:rsidRPr="001C3B3C">
              <w:t>estudiantes y con ellos y no cumple papel de simple</w:t>
            </w:r>
            <w:r w:rsidRPr="001C3B3C">
              <w:t xml:space="preserve"> </w:t>
            </w:r>
            <w:r w:rsidR="00AF696F" w:rsidRPr="001C3B3C">
              <w:t>espectador. Las estrategias desarrolladas van dirigidas</w:t>
            </w:r>
            <w:r w:rsidRPr="001C3B3C">
              <w:t xml:space="preserve"> </w:t>
            </w:r>
            <w:r w:rsidR="00AF696F" w:rsidRPr="001C3B3C">
              <w:t>hacia el gozo por la lectura, no hacia la comprobación</w:t>
            </w:r>
            <w:r w:rsidRPr="001C3B3C">
              <w:t xml:space="preserve"> </w:t>
            </w:r>
            <w:r w:rsidR="00AF696F" w:rsidRPr="001C3B3C">
              <w:t>de lectura.</w:t>
            </w:r>
          </w:p>
          <w:p w:rsidR="00AF696F" w:rsidRPr="001C3B3C" w:rsidRDefault="00AF696F" w:rsidP="00127F05">
            <w:pPr>
              <w:jc w:val="both"/>
            </w:pPr>
          </w:p>
          <w:p w:rsidR="00AF696F" w:rsidRPr="001C3B3C" w:rsidRDefault="00AF696F" w:rsidP="0043074E">
            <w:pPr>
              <w:autoSpaceDE w:val="0"/>
              <w:autoSpaceDN w:val="0"/>
              <w:adjustRightInd w:val="0"/>
              <w:jc w:val="both"/>
            </w:pPr>
            <w:r w:rsidRPr="001C3B3C">
              <w:t>NOTA: A partir de las lecturas realizadas, el educador</w:t>
            </w:r>
            <w:r w:rsidR="0043074E" w:rsidRPr="001C3B3C">
              <w:t xml:space="preserve"> </w:t>
            </w:r>
            <w:r w:rsidRPr="001C3B3C">
              <w:t>(a) registra información que le permita</w:t>
            </w:r>
            <w:r w:rsidR="0043074E" w:rsidRPr="001C3B3C">
              <w:t xml:space="preserve"> </w:t>
            </w:r>
            <w:r w:rsidRPr="001C3B3C">
              <w:t>valorar si el estudiante realiza conjeturas</w:t>
            </w:r>
            <w:r w:rsidR="0043074E" w:rsidRPr="001C3B3C">
              <w:t xml:space="preserve"> </w:t>
            </w:r>
            <w:r w:rsidRPr="001C3B3C">
              <w:t>sobre los argumentos de los textos y formula</w:t>
            </w:r>
            <w:r w:rsidR="0043074E" w:rsidRPr="001C3B3C">
              <w:t xml:space="preserve"> </w:t>
            </w:r>
            <w:r w:rsidRPr="001C3B3C">
              <w:t>analogías a partir de los cuentos escuchados,</w:t>
            </w:r>
            <w:r w:rsidR="0043074E" w:rsidRPr="001C3B3C">
              <w:t xml:space="preserve"> </w:t>
            </w:r>
            <w:r w:rsidRPr="001C3B3C">
              <w:t>entre otros aspectos.</w:t>
            </w:r>
          </w:p>
          <w:p w:rsidR="00365B4E" w:rsidRPr="001C3B3C" w:rsidRDefault="00AF696F" w:rsidP="00072DD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C3B3C">
              <w:lastRenderedPageBreak/>
              <w:t>El educador (a) realiza preguntas orales a</w:t>
            </w:r>
            <w:r w:rsidR="0043074E" w:rsidRPr="001C3B3C">
              <w:t xml:space="preserve"> </w:t>
            </w:r>
            <w:r w:rsidRPr="001C3B3C">
              <w:t>cada estudiante para valorar sus opiniones</w:t>
            </w:r>
            <w:r w:rsidR="0043074E" w:rsidRPr="001C3B3C">
              <w:t xml:space="preserve"> </w:t>
            </w:r>
            <w:r w:rsidRPr="001C3B3C">
              <w:t>con respecto a las lecturas realizadas y</w:t>
            </w:r>
            <w:r w:rsidR="0043074E" w:rsidRPr="001C3B3C">
              <w:t xml:space="preserve"> </w:t>
            </w:r>
            <w:r w:rsidRPr="001C3B3C">
              <w:t>registra sus respuestas en un registro</w:t>
            </w:r>
            <w:r w:rsidR="0043074E" w:rsidRPr="001C3B3C">
              <w:t xml:space="preserve"> </w:t>
            </w:r>
            <w:r w:rsidRPr="001C3B3C">
              <w:t>anecdótico</w:t>
            </w:r>
            <w:r w:rsidR="00072DDA" w:rsidRPr="001C3B3C">
              <w:t xml:space="preserve"> u otro similar</w:t>
            </w:r>
            <w:r w:rsidRPr="001C3B3C">
              <w:t>.</w:t>
            </w:r>
          </w:p>
        </w:tc>
      </w:tr>
    </w:tbl>
    <w:p w:rsidR="00365B4E" w:rsidRPr="001C3B3C" w:rsidRDefault="00072DDA" w:rsidP="00365B4E">
      <w:pPr>
        <w:rPr>
          <w:b/>
        </w:rPr>
      </w:pPr>
      <w:r w:rsidRPr="001C3B3C">
        <w:rPr>
          <w:noProof/>
          <w:lang w:eastAsia="es-CR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2550160</wp:posOffset>
            </wp:positionH>
            <wp:positionV relativeFrom="paragraph">
              <wp:posOffset>909955</wp:posOffset>
            </wp:positionV>
            <wp:extent cx="3147695" cy="2359025"/>
            <wp:effectExtent l="0" t="0" r="0" b="3175"/>
            <wp:wrapTight wrapText="bothSides">
              <wp:wrapPolygon edited="0">
                <wp:start x="0" y="0"/>
                <wp:lineTo x="0" y="21455"/>
                <wp:lineTo x="21439" y="21455"/>
                <wp:lineTo x="21439" y="0"/>
                <wp:lineTo x="0" y="0"/>
              </wp:wrapPolygon>
            </wp:wrapTight>
            <wp:docPr id="1" name="Imagen 1" descr="Resultado de imagen para fiesta escolar animada lectura glob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fiesta escolar animada lectura globo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95" cy="235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B4E" w:rsidRPr="001C3B3C">
        <w:rPr>
          <w:b/>
        </w:rPr>
        <w:br w:type="page"/>
      </w:r>
    </w:p>
    <w:p w:rsidR="006C67B1" w:rsidRPr="003053CA" w:rsidRDefault="006C67B1" w:rsidP="006C67B1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365B4E" w:rsidRPr="001C3B3C" w:rsidRDefault="00365B4E" w:rsidP="00365B4E">
      <w:pPr>
        <w:spacing w:after="0"/>
        <w:jc w:val="center"/>
        <w:rPr>
          <w:b/>
        </w:rPr>
      </w:pPr>
      <w:r w:rsidRPr="001C3B3C">
        <w:rPr>
          <w:b/>
        </w:rPr>
        <w:t>Instrumento de proceso</w:t>
      </w:r>
    </w:p>
    <w:p w:rsidR="00365B4E" w:rsidRPr="001C3B3C" w:rsidRDefault="00365B4E" w:rsidP="00365B4E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1C3B3C" w:rsidRPr="001C3B3C" w:rsidTr="00B5475F">
        <w:tc>
          <w:tcPr>
            <w:tcW w:w="1173" w:type="pct"/>
            <w:vAlign w:val="center"/>
          </w:tcPr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C3B3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1C3B3C" w:rsidRPr="001C3B3C" w:rsidRDefault="001C3B3C" w:rsidP="001C3B3C">
            <w:pPr>
              <w:jc w:val="center"/>
              <w:rPr>
                <w:b/>
              </w:rPr>
            </w:pPr>
            <w:r w:rsidRPr="001C3B3C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1C3B3C" w:rsidRPr="001C3B3C" w:rsidRDefault="001C3B3C" w:rsidP="001C3B3C">
            <w:pPr>
              <w:jc w:val="center"/>
              <w:rPr>
                <w:b/>
              </w:rPr>
            </w:pPr>
            <w:r w:rsidRPr="001C3B3C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1C3B3C" w:rsidRPr="001C3B3C" w:rsidRDefault="001C3B3C" w:rsidP="001C3B3C">
            <w:pPr>
              <w:jc w:val="center"/>
              <w:rPr>
                <w:b/>
              </w:rPr>
            </w:pPr>
            <w:r w:rsidRPr="001C3B3C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1C3B3C" w:rsidRPr="001C3B3C" w:rsidRDefault="001C3B3C" w:rsidP="001C3B3C">
            <w:pPr>
              <w:jc w:val="center"/>
              <w:rPr>
                <w:b/>
              </w:rPr>
            </w:pPr>
            <w:r w:rsidRPr="001C3B3C">
              <w:rPr>
                <w:b/>
              </w:rPr>
              <w:t>Avanzado</w:t>
            </w:r>
          </w:p>
        </w:tc>
      </w:tr>
      <w:tr w:rsidR="001C3B3C" w:rsidRPr="001C3B3C" w:rsidTr="001C3B3C">
        <w:trPr>
          <w:trHeight w:val="590"/>
        </w:trPr>
        <w:tc>
          <w:tcPr>
            <w:tcW w:w="1173" w:type="pct"/>
          </w:tcPr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1C3B3C" w:rsidRPr="001C3B3C" w:rsidRDefault="001C3B3C" w:rsidP="001C3B3C">
            <w:pPr>
              <w:pStyle w:val="Pa5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>Selecciona elementos significativos en las prácticas lectoras, tales como relación de título con el contenido, enseñanza, valores, antivalores, entre otros.</w:t>
            </w:r>
          </w:p>
        </w:tc>
        <w:tc>
          <w:tcPr>
            <w:tcW w:w="873" w:type="pct"/>
          </w:tcPr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sz w:val="22"/>
                <w:szCs w:val="22"/>
              </w:rPr>
              <w:t>Cita la relación del título con el contenido del texto, así como la enseñanza, los valores y antivalores presentes en la obra.</w:t>
            </w:r>
          </w:p>
        </w:tc>
        <w:tc>
          <w:tcPr>
            <w:tcW w:w="831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</w:p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  <w:r w:rsidRPr="001C3B3C">
              <w:rPr>
                <w:color w:val="000000" w:themeColor="text1"/>
              </w:rPr>
              <w:t xml:space="preserve">Diferencia posibles enseñanzas, valores y antivalores presentes en el texto leído, así como su relación con el título de la obra. </w:t>
            </w:r>
          </w:p>
        </w:tc>
        <w:tc>
          <w:tcPr>
            <w:tcW w:w="950" w:type="pct"/>
            <w:vAlign w:val="center"/>
          </w:tcPr>
          <w:p w:rsidR="001C3B3C" w:rsidRPr="001C3B3C" w:rsidRDefault="001C3B3C" w:rsidP="001C3B3C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1C3B3C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Escoge los elementos significativos en las prácticas lectoras (</w:t>
            </w:r>
            <w:r w:rsidRPr="001C3B3C">
              <w:rPr>
                <w:rFonts w:asciiTheme="minorHAnsi" w:hAnsiTheme="minorHAnsi" w:cstheme="minorBidi"/>
                <w:i/>
                <w:color w:val="000000" w:themeColor="text1"/>
                <w:sz w:val="22"/>
                <w:szCs w:val="22"/>
              </w:rPr>
              <w:t>como relación de título con el contenido, enseñanza, valores, antivalores, entre otros</w:t>
            </w:r>
            <w:r w:rsidRPr="001C3B3C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) para el desarrollo del gusto por la lectura.</w:t>
            </w:r>
          </w:p>
        </w:tc>
      </w:tr>
      <w:tr w:rsidR="001C3B3C" w:rsidRPr="001C3B3C" w:rsidTr="001C3B3C">
        <w:trPr>
          <w:trHeight w:val="901"/>
        </w:trPr>
        <w:tc>
          <w:tcPr>
            <w:tcW w:w="1173" w:type="pct"/>
          </w:tcPr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BF8F00" w:themeColor="accent4" w:themeShade="BF"/>
              </w:rPr>
            </w:pPr>
          </w:p>
          <w:p w:rsidR="001C3B3C" w:rsidRPr="001C3B3C" w:rsidRDefault="001C3B3C" w:rsidP="001C3B3C">
            <w:pPr>
              <w:jc w:val="center"/>
              <w:rPr>
                <w:color w:val="BF8F00" w:themeColor="accent4" w:themeShade="BF"/>
              </w:rPr>
            </w:pPr>
            <w:r w:rsidRPr="001C3B3C">
              <w:rPr>
                <w:color w:val="BF8F00" w:themeColor="accent4" w:themeShade="BF"/>
              </w:rPr>
              <w:t>Formula conjeturas en las prácticas lectoras.</w:t>
            </w:r>
          </w:p>
        </w:tc>
        <w:tc>
          <w:tcPr>
            <w:tcW w:w="873" w:type="pct"/>
          </w:tcPr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C3B3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conjeturas (predicciones), a partir de la lectura del título, portada o imágenes presente en el texto por leer.</w:t>
            </w:r>
          </w:p>
        </w:tc>
        <w:tc>
          <w:tcPr>
            <w:tcW w:w="831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  <w:r w:rsidRPr="001C3B3C">
              <w:rPr>
                <w:color w:val="000000" w:themeColor="text1"/>
              </w:rPr>
              <w:t xml:space="preserve">Asocia sus propias conjeturas con el contenido del texto leído. </w:t>
            </w:r>
          </w:p>
        </w:tc>
        <w:tc>
          <w:tcPr>
            <w:tcW w:w="950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  <w:r w:rsidRPr="001C3B3C">
              <w:rPr>
                <w:color w:val="000000" w:themeColor="text1"/>
              </w:rPr>
              <w:t>Precisa las semejanzas o diferencias entre lo que había conjeturado y la información ofrecida en el texto leído.</w:t>
            </w:r>
          </w:p>
        </w:tc>
      </w:tr>
      <w:tr w:rsidR="001C3B3C" w:rsidRPr="001C3B3C" w:rsidTr="001C3B3C">
        <w:trPr>
          <w:trHeight w:val="857"/>
        </w:trPr>
        <w:tc>
          <w:tcPr>
            <w:tcW w:w="1173" w:type="pct"/>
          </w:tcPr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C3B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1C3B3C" w:rsidRPr="001C3B3C" w:rsidRDefault="001C3B3C" w:rsidP="001C3B3C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BF8F00" w:themeColor="accent4" w:themeShade="BF"/>
              </w:rPr>
            </w:pPr>
          </w:p>
          <w:p w:rsidR="001C3B3C" w:rsidRPr="001C3B3C" w:rsidRDefault="001C3B3C" w:rsidP="001C3B3C">
            <w:pPr>
              <w:jc w:val="center"/>
              <w:rPr>
                <w:color w:val="BF8F00" w:themeColor="accent4" w:themeShade="BF"/>
              </w:rPr>
            </w:pPr>
            <w:r w:rsidRPr="001C3B3C">
              <w:rPr>
                <w:color w:val="BF8F00" w:themeColor="accent4" w:themeShade="BF"/>
              </w:rPr>
              <w:t>Demuestra la relación entre los conocimientos previos y el contenido.</w:t>
            </w:r>
          </w:p>
        </w:tc>
        <w:tc>
          <w:tcPr>
            <w:tcW w:w="873" w:type="pct"/>
          </w:tcPr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C3B3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Menciona ideas generales (conocimientos previos) y las relaciona con el contenido de la obra. </w:t>
            </w:r>
          </w:p>
        </w:tc>
        <w:tc>
          <w:tcPr>
            <w:tcW w:w="831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  <w:r w:rsidRPr="001C3B3C">
              <w:rPr>
                <w:color w:val="000000" w:themeColor="text1"/>
              </w:rPr>
              <w:t>Brinda información puntual que surge de sus conocimientos previos y la relaciona con el contenido de la obra.</w:t>
            </w:r>
          </w:p>
        </w:tc>
        <w:tc>
          <w:tcPr>
            <w:tcW w:w="950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  <w:r w:rsidRPr="001C3B3C">
              <w:rPr>
                <w:color w:val="000000" w:themeColor="text1"/>
              </w:rPr>
              <w:t xml:space="preserve">Especifica la relación entre sus conocimientos previos y el contenido de la obra de manera que evidencie un mayor nivel comprensión de la obra. </w:t>
            </w:r>
          </w:p>
        </w:tc>
      </w:tr>
      <w:tr w:rsidR="001C3B3C" w:rsidRPr="001C3B3C" w:rsidTr="001C3B3C">
        <w:trPr>
          <w:trHeight w:val="857"/>
        </w:trPr>
        <w:tc>
          <w:tcPr>
            <w:tcW w:w="1173" w:type="pct"/>
          </w:tcPr>
          <w:p w:rsidR="001C3B3C" w:rsidRPr="001C3B3C" w:rsidRDefault="001C3B3C" w:rsidP="001C3B3C">
            <w:pPr>
              <w:rPr>
                <w:b/>
                <w:color w:val="538135" w:themeColor="accent6" w:themeShade="BF"/>
              </w:rPr>
            </w:pPr>
            <w:r w:rsidRPr="001C3B3C">
              <w:rPr>
                <w:b/>
                <w:color w:val="538135" w:themeColor="accent6" w:themeShade="BF"/>
              </w:rPr>
              <w:t>Valoración de la información</w:t>
            </w:r>
          </w:p>
          <w:p w:rsidR="001C3B3C" w:rsidRPr="001C3B3C" w:rsidRDefault="001C3B3C" w:rsidP="001C3B3C">
            <w:pPr>
              <w:rPr>
                <w:color w:val="538135" w:themeColor="accent6" w:themeShade="BF"/>
              </w:rPr>
            </w:pPr>
          </w:p>
        </w:tc>
        <w:tc>
          <w:tcPr>
            <w:tcW w:w="1173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538135" w:themeColor="accent6" w:themeShade="BF"/>
              </w:rPr>
            </w:pPr>
            <w:r w:rsidRPr="001C3B3C">
              <w:rPr>
                <w:color w:val="538135" w:themeColor="accent6" w:themeShade="BF"/>
              </w:rPr>
              <w:t>Describe ideas relevantes e irrelevantes de la información obtenida a partir de la lectura.</w:t>
            </w:r>
          </w:p>
        </w:tc>
        <w:tc>
          <w:tcPr>
            <w:tcW w:w="873" w:type="pct"/>
          </w:tcPr>
          <w:p w:rsidR="001C3B3C" w:rsidRPr="001C3B3C" w:rsidRDefault="001C3B3C" w:rsidP="001C3B3C">
            <w:pPr>
              <w:jc w:val="center"/>
              <w:rPr>
                <w:color w:val="33CCCC"/>
              </w:rPr>
            </w:pPr>
            <w:r w:rsidRPr="001C3B3C">
              <w:rPr>
                <w:color w:val="000000" w:themeColor="text1"/>
              </w:rPr>
              <w:t>Menciona ideas relevantes e irrelevantes</w:t>
            </w:r>
            <w:r w:rsidRPr="001C3B3C">
              <w:rPr>
                <w:color w:val="33CCCC"/>
              </w:rPr>
              <w:t xml:space="preserve"> </w:t>
            </w:r>
            <w:r w:rsidRPr="001C3B3C">
              <w:rPr>
                <w:color w:val="000000" w:themeColor="text1"/>
              </w:rPr>
              <w:t>a</w:t>
            </w:r>
            <w:r w:rsidRPr="001C3B3C">
              <w:rPr>
                <w:color w:val="33CCCC"/>
              </w:rPr>
              <w:t xml:space="preserve"> </w:t>
            </w:r>
            <w:r w:rsidRPr="001C3B3C">
              <w:rPr>
                <w:color w:val="000000" w:themeColor="text1"/>
              </w:rPr>
              <w:t>partir de la lectura.</w:t>
            </w:r>
          </w:p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  <w:r w:rsidRPr="001C3B3C">
              <w:rPr>
                <w:color w:val="000000" w:themeColor="text1"/>
              </w:rPr>
              <w:t>Resalta las ideas más relevantes presentes en la lectura.</w:t>
            </w:r>
          </w:p>
        </w:tc>
        <w:tc>
          <w:tcPr>
            <w:tcW w:w="950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  <w:r w:rsidRPr="001C3B3C">
              <w:rPr>
                <w:color w:val="000000" w:themeColor="text1"/>
              </w:rPr>
              <w:t xml:space="preserve">Puntualiza las ideas relevantes de la lectura y las relaciona con el contenido general de la lectura.  </w:t>
            </w:r>
          </w:p>
        </w:tc>
      </w:tr>
      <w:tr w:rsidR="001C3B3C" w:rsidRPr="001C3B3C" w:rsidTr="001C3B3C">
        <w:trPr>
          <w:trHeight w:val="857"/>
        </w:trPr>
        <w:tc>
          <w:tcPr>
            <w:tcW w:w="1173" w:type="pct"/>
          </w:tcPr>
          <w:p w:rsidR="001C3B3C" w:rsidRPr="001C3B3C" w:rsidRDefault="001C3B3C" w:rsidP="001C3B3C">
            <w:pPr>
              <w:rPr>
                <w:b/>
                <w:color w:val="538135" w:themeColor="accent6" w:themeShade="BF"/>
              </w:rPr>
            </w:pPr>
            <w:r w:rsidRPr="001C3B3C">
              <w:rPr>
                <w:b/>
                <w:color w:val="538135" w:themeColor="accent6" w:themeShade="BF"/>
              </w:rPr>
              <w:lastRenderedPageBreak/>
              <w:t>Presentación de la información</w:t>
            </w:r>
          </w:p>
          <w:p w:rsidR="001C3B3C" w:rsidRPr="001C3B3C" w:rsidRDefault="001C3B3C" w:rsidP="001C3B3C">
            <w:pPr>
              <w:rPr>
                <w:color w:val="538135" w:themeColor="accent6" w:themeShade="BF"/>
              </w:rPr>
            </w:pPr>
          </w:p>
        </w:tc>
        <w:tc>
          <w:tcPr>
            <w:tcW w:w="1173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538135" w:themeColor="accent6" w:themeShade="BF"/>
              </w:rPr>
            </w:pPr>
            <w:r w:rsidRPr="001C3B3C">
              <w:rPr>
                <w:color w:val="538135" w:themeColor="accent6" w:themeShade="BF"/>
              </w:rPr>
              <w:t>Relaciona la  información obtenida  presente en el texto leído con situaciones reales (establece analogías).</w:t>
            </w:r>
          </w:p>
          <w:p w:rsidR="001C3B3C" w:rsidRPr="001C3B3C" w:rsidRDefault="001C3B3C" w:rsidP="001C3B3C">
            <w:pPr>
              <w:jc w:val="center"/>
              <w:rPr>
                <w:color w:val="538135" w:themeColor="accent6" w:themeShade="BF"/>
              </w:rPr>
            </w:pPr>
          </w:p>
        </w:tc>
        <w:tc>
          <w:tcPr>
            <w:tcW w:w="873" w:type="pct"/>
          </w:tcPr>
          <w:p w:rsidR="001C3B3C" w:rsidRPr="001C3B3C" w:rsidRDefault="001C3B3C" w:rsidP="001C3B3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C3B3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Cita las formas en las que se presenta la información (</w:t>
            </w:r>
            <w:r w:rsidRPr="001C3B3C">
              <w:rPr>
                <w:rFonts w:asciiTheme="minorHAnsi" w:eastAsiaTheme="minorHAnsi" w:hAnsiTheme="minorHAnsi" w:cstheme="minorBidi"/>
                <w:i/>
                <w:color w:val="000000" w:themeColor="text1"/>
                <w:sz w:val="22"/>
                <w:szCs w:val="22"/>
                <w:lang w:eastAsia="en-US"/>
              </w:rPr>
              <w:t>prosa, esquemas, gráficos, dibujos…)</w:t>
            </w:r>
          </w:p>
        </w:tc>
        <w:tc>
          <w:tcPr>
            <w:tcW w:w="831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  <w:r w:rsidRPr="001C3B3C">
              <w:rPr>
                <w:color w:val="000000" w:themeColor="text1"/>
              </w:rPr>
              <w:t>Caracteriza las formas de presentación de la información (</w:t>
            </w:r>
            <w:r w:rsidRPr="001C3B3C">
              <w:rPr>
                <w:i/>
                <w:color w:val="000000" w:themeColor="text1"/>
              </w:rPr>
              <w:t>prosa, esquemas, gráficos, dibujos</w:t>
            </w:r>
            <w:r w:rsidRPr="001C3B3C">
              <w:rPr>
                <w:color w:val="000000" w:themeColor="text1"/>
              </w:rPr>
              <w:t>) y emplea la más pertinente en sus trabajos.</w:t>
            </w:r>
          </w:p>
        </w:tc>
        <w:tc>
          <w:tcPr>
            <w:tcW w:w="950" w:type="pct"/>
            <w:vAlign w:val="center"/>
          </w:tcPr>
          <w:p w:rsidR="001C3B3C" w:rsidRPr="001C3B3C" w:rsidRDefault="001C3B3C" w:rsidP="001C3B3C">
            <w:pPr>
              <w:jc w:val="center"/>
              <w:rPr>
                <w:color w:val="000000" w:themeColor="text1"/>
              </w:rPr>
            </w:pPr>
            <w:r w:rsidRPr="001C3B3C">
              <w:rPr>
                <w:color w:val="000000" w:themeColor="text1"/>
              </w:rPr>
              <w:t>Vincula la información nueva, producto de la lectura y la sintetiza de distintas maneras (</w:t>
            </w:r>
            <w:r w:rsidRPr="001C3B3C">
              <w:rPr>
                <w:i/>
                <w:color w:val="000000" w:themeColor="text1"/>
              </w:rPr>
              <w:t>prosa, esquemas, gráficos, dibujos</w:t>
            </w:r>
            <w:r w:rsidRPr="001C3B3C">
              <w:rPr>
                <w:color w:val="000000" w:themeColor="text1"/>
              </w:rPr>
              <w:t>).</w:t>
            </w:r>
          </w:p>
        </w:tc>
      </w:tr>
    </w:tbl>
    <w:p w:rsidR="00365B4E" w:rsidRPr="001C3B3C" w:rsidRDefault="00365B4E" w:rsidP="00365B4E">
      <w:pPr>
        <w:jc w:val="center"/>
        <w:rPr>
          <w:b/>
        </w:rPr>
      </w:pPr>
    </w:p>
    <w:p w:rsidR="008D6BDC" w:rsidRDefault="008D6BDC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365B4E"/>
    <w:p w:rsidR="009D645E" w:rsidRDefault="009D645E" w:rsidP="009D645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9D645E" w:rsidRDefault="009D645E" w:rsidP="009D645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D645E" w:rsidRDefault="009D645E" w:rsidP="009D645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9D645E" w:rsidRDefault="009D645E" w:rsidP="009D645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D645E" w:rsidRDefault="009D645E" w:rsidP="009D645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9D645E" w:rsidRDefault="009D645E" w:rsidP="009D645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9D645E" w:rsidRDefault="009D645E" w:rsidP="009D645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D645E" w:rsidRDefault="009D645E" w:rsidP="009D645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9D645E" w:rsidRDefault="009D645E" w:rsidP="009D645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D645E" w:rsidRDefault="009D645E" w:rsidP="009D645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9D645E" w:rsidRDefault="009D645E" w:rsidP="009D645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9D645E" w:rsidRDefault="009D645E" w:rsidP="009D645E">
      <w:pPr>
        <w:pStyle w:val="Sinespaciado"/>
        <w:rPr>
          <w:rFonts w:ascii="Cambria" w:eastAsia="Calibri" w:hAnsi="Cambria" w:cs="Arial"/>
          <w:lang w:eastAsia="en-US"/>
        </w:rPr>
      </w:pPr>
    </w:p>
    <w:p w:rsidR="009D645E" w:rsidRDefault="009D645E" w:rsidP="009D645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9D645E" w:rsidRDefault="009D645E" w:rsidP="009D645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9D645E" w:rsidRDefault="009D645E" w:rsidP="009D645E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9D645E" w:rsidRDefault="009D645E" w:rsidP="009D645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9D645E" w:rsidRDefault="009D645E" w:rsidP="009D645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9D645E" w:rsidRDefault="009D645E" w:rsidP="009D645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9D645E" w:rsidRDefault="009D645E" w:rsidP="009D645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9D645E" w:rsidRDefault="009D645E" w:rsidP="009D645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9D645E" w:rsidRDefault="009D645E" w:rsidP="009D645E">
      <w:pPr>
        <w:rPr>
          <w:rFonts w:ascii="Calibri" w:eastAsia="Calibri" w:hAnsi="Calibri" w:cs="Times New Roman"/>
        </w:rPr>
      </w:pPr>
      <w:r>
        <w:t xml:space="preserve"> </w:t>
      </w:r>
    </w:p>
    <w:p w:rsidR="009D645E" w:rsidRDefault="009D645E" w:rsidP="009D645E">
      <w:pPr>
        <w:rPr>
          <w:b/>
        </w:rPr>
      </w:pPr>
      <w:r>
        <w:rPr>
          <w:b/>
        </w:rPr>
        <w:t>Docentes:</w:t>
      </w:r>
    </w:p>
    <w:p w:rsidR="009D645E" w:rsidRDefault="009D645E" w:rsidP="009D645E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9D645E" w:rsidRDefault="009D645E" w:rsidP="009D645E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9D645E" w:rsidRDefault="009D645E" w:rsidP="009D645E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9D645E" w:rsidRDefault="009D645E" w:rsidP="009D645E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9D645E" w:rsidRDefault="009D645E" w:rsidP="009D645E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9D645E" w:rsidRDefault="009D645E" w:rsidP="009D645E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9D645E" w:rsidRDefault="009D645E" w:rsidP="009D645E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9D645E" w:rsidRDefault="009D645E" w:rsidP="00365B4E">
      <w:bookmarkStart w:id="0" w:name="_GoBack"/>
      <w:bookmarkEnd w:id="0"/>
    </w:p>
    <w:p w:rsidR="009D645E" w:rsidRDefault="009D645E" w:rsidP="00365B4E"/>
    <w:p w:rsidR="009D645E" w:rsidRPr="001C3B3C" w:rsidRDefault="009D645E" w:rsidP="00365B4E"/>
    <w:sectPr w:rsidR="009D645E" w:rsidRPr="001C3B3C" w:rsidSect="006C6800">
      <w:footerReference w:type="default" r:id="rId10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5DE" w:rsidRDefault="002D25DE" w:rsidP="00B540A9">
      <w:pPr>
        <w:spacing w:after="0" w:line="240" w:lineRule="auto"/>
      </w:pPr>
      <w:r>
        <w:separator/>
      </w:r>
    </w:p>
  </w:endnote>
  <w:endnote w:type="continuationSeparator" w:id="0">
    <w:p w:rsidR="002D25DE" w:rsidRDefault="002D25DE" w:rsidP="00B54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0A9" w:rsidRDefault="00B540A9" w:rsidP="00B540A9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B540A9" w:rsidRDefault="00B540A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5DE" w:rsidRDefault="002D25DE" w:rsidP="00B540A9">
      <w:pPr>
        <w:spacing w:after="0" w:line="240" w:lineRule="auto"/>
      </w:pPr>
      <w:r>
        <w:separator/>
      </w:r>
    </w:p>
  </w:footnote>
  <w:footnote w:type="continuationSeparator" w:id="0">
    <w:p w:rsidR="002D25DE" w:rsidRDefault="002D25DE" w:rsidP="00B54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27B73"/>
    <w:rsid w:val="00032F88"/>
    <w:rsid w:val="00045FD7"/>
    <w:rsid w:val="00054F52"/>
    <w:rsid w:val="000555EF"/>
    <w:rsid w:val="0006020E"/>
    <w:rsid w:val="00072DDA"/>
    <w:rsid w:val="000805A7"/>
    <w:rsid w:val="00092CC3"/>
    <w:rsid w:val="000A1C7A"/>
    <w:rsid w:val="000C24A6"/>
    <w:rsid w:val="000D290A"/>
    <w:rsid w:val="000E0EDF"/>
    <w:rsid w:val="0010655E"/>
    <w:rsid w:val="00114A28"/>
    <w:rsid w:val="0012070A"/>
    <w:rsid w:val="00125F91"/>
    <w:rsid w:val="00127F05"/>
    <w:rsid w:val="00135AC3"/>
    <w:rsid w:val="001405A9"/>
    <w:rsid w:val="00166D1D"/>
    <w:rsid w:val="001737F0"/>
    <w:rsid w:val="00183FCA"/>
    <w:rsid w:val="00191E34"/>
    <w:rsid w:val="00196279"/>
    <w:rsid w:val="00197B39"/>
    <w:rsid w:val="001A58CE"/>
    <w:rsid w:val="001B7469"/>
    <w:rsid w:val="001C3B3C"/>
    <w:rsid w:val="001C532E"/>
    <w:rsid w:val="001C7E15"/>
    <w:rsid w:val="001D6384"/>
    <w:rsid w:val="00206BDB"/>
    <w:rsid w:val="00207C4A"/>
    <w:rsid w:val="00217429"/>
    <w:rsid w:val="0021745C"/>
    <w:rsid w:val="00232CEC"/>
    <w:rsid w:val="00233628"/>
    <w:rsid w:val="00240A41"/>
    <w:rsid w:val="00242B86"/>
    <w:rsid w:val="002446CA"/>
    <w:rsid w:val="00247FCA"/>
    <w:rsid w:val="00251A94"/>
    <w:rsid w:val="00273E23"/>
    <w:rsid w:val="00276758"/>
    <w:rsid w:val="002B0D21"/>
    <w:rsid w:val="002C0557"/>
    <w:rsid w:val="002C5FEA"/>
    <w:rsid w:val="002D25DE"/>
    <w:rsid w:val="002D6BFD"/>
    <w:rsid w:val="002E0CE6"/>
    <w:rsid w:val="002E224E"/>
    <w:rsid w:val="002E69E6"/>
    <w:rsid w:val="002F69FB"/>
    <w:rsid w:val="002F7221"/>
    <w:rsid w:val="00326213"/>
    <w:rsid w:val="00331C22"/>
    <w:rsid w:val="00365B4E"/>
    <w:rsid w:val="00366BBE"/>
    <w:rsid w:val="00374ABB"/>
    <w:rsid w:val="003A0FBA"/>
    <w:rsid w:val="003B1ECE"/>
    <w:rsid w:val="003B5399"/>
    <w:rsid w:val="003C3E4A"/>
    <w:rsid w:val="004212B6"/>
    <w:rsid w:val="004268C7"/>
    <w:rsid w:val="0043074E"/>
    <w:rsid w:val="004333FA"/>
    <w:rsid w:val="00440F4E"/>
    <w:rsid w:val="004516A4"/>
    <w:rsid w:val="0045470C"/>
    <w:rsid w:val="00463D8D"/>
    <w:rsid w:val="00466B0F"/>
    <w:rsid w:val="004904A4"/>
    <w:rsid w:val="00497BE4"/>
    <w:rsid w:val="004A5845"/>
    <w:rsid w:val="004A62BF"/>
    <w:rsid w:val="004B49F7"/>
    <w:rsid w:val="004D0A8A"/>
    <w:rsid w:val="004E21B4"/>
    <w:rsid w:val="004E277C"/>
    <w:rsid w:val="004F3140"/>
    <w:rsid w:val="00505EBE"/>
    <w:rsid w:val="00506803"/>
    <w:rsid w:val="00512FD3"/>
    <w:rsid w:val="00515DD7"/>
    <w:rsid w:val="00547BD3"/>
    <w:rsid w:val="005523C9"/>
    <w:rsid w:val="005527D1"/>
    <w:rsid w:val="00572EC6"/>
    <w:rsid w:val="00580965"/>
    <w:rsid w:val="005918AA"/>
    <w:rsid w:val="005C4579"/>
    <w:rsid w:val="005D19AC"/>
    <w:rsid w:val="005E6632"/>
    <w:rsid w:val="005F2004"/>
    <w:rsid w:val="00604894"/>
    <w:rsid w:val="00617A81"/>
    <w:rsid w:val="00623D0E"/>
    <w:rsid w:val="00635737"/>
    <w:rsid w:val="00652C58"/>
    <w:rsid w:val="00657491"/>
    <w:rsid w:val="00683E71"/>
    <w:rsid w:val="00691EB4"/>
    <w:rsid w:val="006969B6"/>
    <w:rsid w:val="006A5783"/>
    <w:rsid w:val="006C67B1"/>
    <w:rsid w:val="006C6800"/>
    <w:rsid w:val="006D72CB"/>
    <w:rsid w:val="006D7F3D"/>
    <w:rsid w:val="006F0B36"/>
    <w:rsid w:val="006F4586"/>
    <w:rsid w:val="006F788B"/>
    <w:rsid w:val="00706555"/>
    <w:rsid w:val="0071083F"/>
    <w:rsid w:val="0071690E"/>
    <w:rsid w:val="00722B61"/>
    <w:rsid w:val="00743CBF"/>
    <w:rsid w:val="00764A05"/>
    <w:rsid w:val="0076540F"/>
    <w:rsid w:val="00773780"/>
    <w:rsid w:val="00780B51"/>
    <w:rsid w:val="0078174A"/>
    <w:rsid w:val="007911C7"/>
    <w:rsid w:val="007963F9"/>
    <w:rsid w:val="007A1E9C"/>
    <w:rsid w:val="007A3875"/>
    <w:rsid w:val="007B0AD8"/>
    <w:rsid w:val="007B6AC3"/>
    <w:rsid w:val="007C5DED"/>
    <w:rsid w:val="007D6068"/>
    <w:rsid w:val="007E1C93"/>
    <w:rsid w:val="007E30DA"/>
    <w:rsid w:val="00801CB7"/>
    <w:rsid w:val="0081345B"/>
    <w:rsid w:val="00845913"/>
    <w:rsid w:val="008545C3"/>
    <w:rsid w:val="008636DF"/>
    <w:rsid w:val="00876809"/>
    <w:rsid w:val="00893753"/>
    <w:rsid w:val="00896811"/>
    <w:rsid w:val="008B61CF"/>
    <w:rsid w:val="008B636F"/>
    <w:rsid w:val="008C5F58"/>
    <w:rsid w:val="008C7D7B"/>
    <w:rsid w:val="008D2949"/>
    <w:rsid w:val="008D6BDC"/>
    <w:rsid w:val="008D7917"/>
    <w:rsid w:val="008E7B65"/>
    <w:rsid w:val="008F2F63"/>
    <w:rsid w:val="0090278C"/>
    <w:rsid w:val="00905636"/>
    <w:rsid w:val="00945D5E"/>
    <w:rsid w:val="0095439C"/>
    <w:rsid w:val="00954C88"/>
    <w:rsid w:val="009562A4"/>
    <w:rsid w:val="009766B7"/>
    <w:rsid w:val="009861BB"/>
    <w:rsid w:val="009A021C"/>
    <w:rsid w:val="009A4D0C"/>
    <w:rsid w:val="009B32A2"/>
    <w:rsid w:val="009D4028"/>
    <w:rsid w:val="009D645E"/>
    <w:rsid w:val="009E1738"/>
    <w:rsid w:val="009E42EE"/>
    <w:rsid w:val="009E5CCD"/>
    <w:rsid w:val="009F3192"/>
    <w:rsid w:val="009F3CED"/>
    <w:rsid w:val="00A100BA"/>
    <w:rsid w:val="00A25BC8"/>
    <w:rsid w:val="00A32E05"/>
    <w:rsid w:val="00A37033"/>
    <w:rsid w:val="00A44822"/>
    <w:rsid w:val="00A55053"/>
    <w:rsid w:val="00A64FC4"/>
    <w:rsid w:val="00A704E2"/>
    <w:rsid w:val="00A73979"/>
    <w:rsid w:val="00A77A6E"/>
    <w:rsid w:val="00A8651C"/>
    <w:rsid w:val="00AA2BDA"/>
    <w:rsid w:val="00AB1375"/>
    <w:rsid w:val="00AD7A51"/>
    <w:rsid w:val="00AF696F"/>
    <w:rsid w:val="00B174F7"/>
    <w:rsid w:val="00B2494C"/>
    <w:rsid w:val="00B24DF5"/>
    <w:rsid w:val="00B276DE"/>
    <w:rsid w:val="00B37D86"/>
    <w:rsid w:val="00B5274B"/>
    <w:rsid w:val="00B540A9"/>
    <w:rsid w:val="00B759F4"/>
    <w:rsid w:val="00B768E9"/>
    <w:rsid w:val="00B82F04"/>
    <w:rsid w:val="00B903FF"/>
    <w:rsid w:val="00BB02D6"/>
    <w:rsid w:val="00BC2C13"/>
    <w:rsid w:val="00BD307B"/>
    <w:rsid w:val="00BD481A"/>
    <w:rsid w:val="00BE5B1F"/>
    <w:rsid w:val="00C40B6B"/>
    <w:rsid w:val="00C42102"/>
    <w:rsid w:val="00C5073E"/>
    <w:rsid w:val="00C52A43"/>
    <w:rsid w:val="00C6517D"/>
    <w:rsid w:val="00C673A4"/>
    <w:rsid w:val="00C76971"/>
    <w:rsid w:val="00C76F13"/>
    <w:rsid w:val="00C84AB5"/>
    <w:rsid w:val="00C923D8"/>
    <w:rsid w:val="00CC0B3B"/>
    <w:rsid w:val="00CC67A3"/>
    <w:rsid w:val="00CD31B4"/>
    <w:rsid w:val="00CD70FD"/>
    <w:rsid w:val="00CF00CF"/>
    <w:rsid w:val="00CF0A70"/>
    <w:rsid w:val="00CF530B"/>
    <w:rsid w:val="00CF7BD1"/>
    <w:rsid w:val="00D00453"/>
    <w:rsid w:val="00D1190C"/>
    <w:rsid w:val="00D23EE3"/>
    <w:rsid w:val="00D31F82"/>
    <w:rsid w:val="00D33F8C"/>
    <w:rsid w:val="00D35912"/>
    <w:rsid w:val="00D428CF"/>
    <w:rsid w:val="00D44AAF"/>
    <w:rsid w:val="00D702B1"/>
    <w:rsid w:val="00D824D0"/>
    <w:rsid w:val="00D85E49"/>
    <w:rsid w:val="00D9003D"/>
    <w:rsid w:val="00DA628B"/>
    <w:rsid w:val="00DB16C0"/>
    <w:rsid w:val="00DD774D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A0F40"/>
    <w:rsid w:val="00EB5EE2"/>
    <w:rsid w:val="00F00293"/>
    <w:rsid w:val="00F153EB"/>
    <w:rsid w:val="00F3129B"/>
    <w:rsid w:val="00F46704"/>
    <w:rsid w:val="00F51C97"/>
    <w:rsid w:val="00F7027A"/>
    <w:rsid w:val="00F84E9C"/>
    <w:rsid w:val="00F86EF6"/>
    <w:rsid w:val="00F956EA"/>
    <w:rsid w:val="00FA0C70"/>
    <w:rsid w:val="00FD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D9DB302-29F1-4934-AD56-B05C929F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B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540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40A9"/>
  </w:style>
  <w:style w:type="paragraph" w:styleId="Piedepgina">
    <w:name w:val="footer"/>
    <w:basedOn w:val="Normal"/>
    <w:link w:val="PiedepginaCar"/>
    <w:uiPriority w:val="99"/>
    <w:unhideWhenUsed/>
    <w:rsid w:val="00B540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40A9"/>
  </w:style>
  <w:style w:type="character" w:styleId="Hipervnculo">
    <w:name w:val="Hyperlink"/>
    <w:basedOn w:val="Fuentedeprrafopredeter"/>
    <w:uiPriority w:val="99"/>
    <w:unhideWhenUsed/>
    <w:rsid w:val="00127F05"/>
    <w:rPr>
      <w:color w:val="0563C1" w:themeColor="hyperlink"/>
      <w:u w:val="single"/>
    </w:rPr>
  </w:style>
  <w:style w:type="character" w:customStyle="1" w:styleId="SinespaciadoCar">
    <w:name w:val="Sin espaciado Car"/>
    <w:link w:val="Sinespaciado"/>
    <w:uiPriority w:val="1"/>
    <w:locked/>
    <w:rsid w:val="009D645E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dc.mep.go.cr/sites/all/files/ddc_mep_go_cr/archivos/literatura_recomendada_2018_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452B6-BC60-4071-B720-CEA648D1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2366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</cp:revision>
  <dcterms:created xsi:type="dcterms:W3CDTF">2019-04-10T18:37:00Z</dcterms:created>
  <dcterms:modified xsi:type="dcterms:W3CDTF">2019-12-02T16:33:00Z</dcterms:modified>
</cp:coreProperties>
</file>