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D86" w:rsidRDefault="00A61D86" w:rsidP="00A61D86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A61D86" w:rsidRDefault="00A61D86" w:rsidP="00A61D86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A61D86" w:rsidRDefault="00A61D86" w:rsidP="00A61D86">
      <w:pPr>
        <w:spacing w:after="0" w:line="240" w:lineRule="auto"/>
        <w:jc w:val="center"/>
      </w:pP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A61D86" w:rsidRDefault="00A61D86" w:rsidP="00A61D8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7678C2" w:rsidRPr="00F263E6" w:rsidRDefault="007678C2" w:rsidP="00B83326">
      <w:pPr>
        <w:spacing w:after="0"/>
        <w:jc w:val="center"/>
        <w:rPr>
          <w:b/>
        </w:rPr>
      </w:pPr>
    </w:p>
    <w:p w:rsidR="005074D6" w:rsidRDefault="005074D6" w:rsidP="005074D6">
      <w:pPr>
        <w:jc w:val="center"/>
        <w:rPr>
          <w:b/>
        </w:rPr>
      </w:pPr>
      <w:r w:rsidRPr="00F263E6">
        <w:rPr>
          <w:b/>
        </w:rPr>
        <w:t xml:space="preserve">Plantilla de planeamiento didáctico de Español </w:t>
      </w:r>
    </w:p>
    <w:p w:rsidR="003730ED" w:rsidRPr="00F263E6" w:rsidRDefault="003730ED" w:rsidP="003730ED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5074D6" w:rsidRPr="00F263E6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63E6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F263E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63E6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5074D6" w:rsidRPr="00F263E6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63E6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590549" w:rsidRPr="00F263E6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F263E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63E6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5074D6" w:rsidRPr="00F263E6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63E6" w:rsidRDefault="005074D6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63E6" w:rsidRDefault="00590549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5074D6" w:rsidRPr="00F263E6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5074D6" w:rsidRPr="00F263E6" w:rsidRDefault="005074D6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3730ED" w:rsidRDefault="003730ED" w:rsidP="003730ED">
      <w:pPr>
        <w:spacing w:after="0"/>
        <w:rPr>
          <w:b/>
        </w:rPr>
      </w:pPr>
    </w:p>
    <w:p w:rsidR="005074D6" w:rsidRPr="00F263E6" w:rsidRDefault="003730ED" w:rsidP="005074D6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257047" w:rsidRPr="00F263E6" w:rsidRDefault="00257047" w:rsidP="005074D6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8"/>
        <w:gridCol w:w="10067"/>
      </w:tblGrid>
      <w:tr w:rsidR="00257047" w:rsidRPr="00F263E6" w:rsidTr="00257047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63E6" w:rsidRDefault="00257047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263E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63E6" w:rsidRDefault="00A453C8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263E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257047" w:rsidRPr="00F263E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257047" w:rsidRPr="00F263E6" w:rsidTr="00257047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63E6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257047" w:rsidRPr="00F263E6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257047" w:rsidRPr="00F263E6" w:rsidRDefault="00257047" w:rsidP="0025704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257047" w:rsidRPr="00F263E6" w:rsidRDefault="00257047" w:rsidP="00FB10C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257047" w:rsidRPr="00F263E6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257047" w:rsidRPr="00F263E6" w:rsidRDefault="00257047" w:rsidP="00257047">
            <w:pPr>
              <w:jc w:val="center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257047" w:rsidRPr="00F263E6" w:rsidRDefault="00257047" w:rsidP="00FB10C9">
            <w:pPr>
              <w:jc w:val="both"/>
              <w:rPr>
                <w:color w:val="000000" w:themeColor="text1"/>
              </w:rPr>
            </w:pPr>
          </w:p>
        </w:tc>
      </w:tr>
      <w:tr w:rsidR="00257047" w:rsidRPr="00F263E6" w:rsidTr="00257047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63E6" w:rsidRDefault="00257047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257047" w:rsidRPr="00F263E6" w:rsidRDefault="00257047" w:rsidP="00257047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F263E6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257047" w:rsidRPr="00F263E6" w:rsidRDefault="00257047" w:rsidP="00257047">
            <w:pPr>
              <w:jc w:val="center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257047" w:rsidRPr="00F263E6" w:rsidRDefault="00257047" w:rsidP="00FB10C9">
            <w:pPr>
              <w:jc w:val="center"/>
              <w:rPr>
                <w:color w:val="000000" w:themeColor="text1"/>
              </w:rPr>
            </w:pPr>
          </w:p>
        </w:tc>
      </w:tr>
      <w:tr w:rsidR="00257047" w:rsidRPr="00F263E6" w:rsidTr="00257047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257047" w:rsidRPr="00F263E6" w:rsidRDefault="00257047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257047" w:rsidRPr="00F263E6" w:rsidRDefault="00257047" w:rsidP="002570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257047" w:rsidRPr="00F263E6" w:rsidRDefault="00257047" w:rsidP="00257047">
            <w:pPr>
              <w:jc w:val="center"/>
            </w:pPr>
            <w:r w:rsidRPr="00F263E6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5074D6" w:rsidRPr="00F263E6" w:rsidRDefault="005074D6" w:rsidP="005074D6">
      <w:pPr>
        <w:rPr>
          <w:b/>
        </w:rPr>
      </w:pPr>
    </w:p>
    <w:p w:rsidR="00257047" w:rsidRPr="00F263E6" w:rsidRDefault="00257047" w:rsidP="005074D6">
      <w:pPr>
        <w:rPr>
          <w:b/>
        </w:rPr>
      </w:pPr>
    </w:p>
    <w:p w:rsidR="00257047" w:rsidRPr="00F263E6" w:rsidRDefault="00257047" w:rsidP="005074D6">
      <w:pPr>
        <w:rPr>
          <w:b/>
        </w:rPr>
      </w:pPr>
    </w:p>
    <w:p w:rsidR="00257047" w:rsidRPr="00F263E6" w:rsidRDefault="00257047" w:rsidP="005074D6">
      <w:pPr>
        <w:rPr>
          <w:b/>
        </w:rPr>
      </w:pPr>
    </w:p>
    <w:p w:rsidR="00257047" w:rsidRPr="00F263E6" w:rsidRDefault="00257047" w:rsidP="005074D6">
      <w:pPr>
        <w:rPr>
          <w:b/>
        </w:rPr>
      </w:pPr>
    </w:p>
    <w:p w:rsidR="005074D6" w:rsidRPr="00F263E6" w:rsidRDefault="005074D6" w:rsidP="005074D6">
      <w:pPr>
        <w:rPr>
          <w:b/>
        </w:rPr>
      </w:pPr>
    </w:p>
    <w:p w:rsidR="003730ED" w:rsidRDefault="003730ED" w:rsidP="003730ED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257047" w:rsidRPr="00F263E6" w:rsidTr="00153531">
        <w:tc>
          <w:tcPr>
            <w:tcW w:w="4784" w:type="dxa"/>
            <w:gridSpan w:val="2"/>
          </w:tcPr>
          <w:p w:rsidR="00257047" w:rsidRPr="00F263E6" w:rsidRDefault="00257047" w:rsidP="00257047">
            <w:pPr>
              <w:jc w:val="center"/>
              <w:rPr>
                <w:b/>
              </w:rPr>
            </w:pPr>
            <w:r w:rsidRPr="00F263E6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257047" w:rsidRPr="00F263E6" w:rsidRDefault="00257047" w:rsidP="00257047">
            <w:pPr>
              <w:jc w:val="center"/>
              <w:rPr>
                <w:b/>
              </w:rPr>
            </w:pPr>
            <w:r w:rsidRPr="00F263E6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257047" w:rsidRPr="00F263E6" w:rsidRDefault="00A453C8" w:rsidP="00257047">
            <w:pPr>
              <w:jc w:val="center"/>
              <w:rPr>
                <w:b/>
              </w:rPr>
            </w:pPr>
            <w:r w:rsidRPr="00F263E6">
              <w:rPr>
                <w:b/>
              </w:rPr>
              <w:t>Estrategias de mediación sugeridas</w:t>
            </w:r>
          </w:p>
        </w:tc>
      </w:tr>
      <w:tr w:rsidR="00257047" w:rsidRPr="00F263E6" w:rsidTr="00153531">
        <w:tc>
          <w:tcPr>
            <w:tcW w:w="2263" w:type="dxa"/>
          </w:tcPr>
          <w:p w:rsidR="00257047" w:rsidRPr="00F263E6" w:rsidRDefault="00257047" w:rsidP="00257047">
            <w:pPr>
              <w:jc w:val="center"/>
              <w:rPr>
                <w:b/>
                <w:highlight w:val="yellow"/>
              </w:rPr>
            </w:pPr>
            <w:r w:rsidRPr="00F263E6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257047" w:rsidRPr="00F263E6" w:rsidRDefault="00257047" w:rsidP="00257047">
            <w:pPr>
              <w:jc w:val="center"/>
              <w:rPr>
                <w:b/>
              </w:rPr>
            </w:pPr>
            <w:r w:rsidRPr="00F263E6">
              <w:rPr>
                <w:b/>
              </w:rPr>
              <w:t>Componente del programa de estudio</w:t>
            </w:r>
          </w:p>
          <w:p w:rsidR="00257047" w:rsidRPr="00F263E6" w:rsidRDefault="00257047" w:rsidP="00257047">
            <w:pPr>
              <w:jc w:val="center"/>
              <w:rPr>
                <w:b/>
              </w:rPr>
            </w:pPr>
            <w:r w:rsidRPr="00F263E6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257047" w:rsidRPr="00F263E6" w:rsidRDefault="00257047" w:rsidP="00257047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257047" w:rsidRPr="00F263E6" w:rsidRDefault="00257047" w:rsidP="00257047">
            <w:pPr>
              <w:jc w:val="center"/>
              <w:rPr>
                <w:b/>
              </w:rPr>
            </w:pPr>
          </w:p>
        </w:tc>
      </w:tr>
      <w:tr w:rsidR="005074D6" w:rsidRPr="00F263E6" w:rsidTr="00153531">
        <w:trPr>
          <w:trHeight w:val="5139"/>
        </w:trPr>
        <w:tc>
          <w:tcPr>
            <w:tcW w:w="2263" w:type="dxa"/>
            <w:vAlign w:val="center"/>
          </w:tcPr>
          <w:p w:rsidR="005074D6" w:rsidRPr="00F263E6" w:rsidRDefault="005074D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5074D6" w:rsidRPr="00F263E6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F263E6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5074D6" w:rsidRPr="00F263E6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5074D6" w:rsidRPr="00F263E6" w:rsidRDefault="005074D6" w:rsidP="00153531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F263E6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5074D6" w:rsidRPr="00F263E6" w:rsidRDefault="005074D6" w:rsidP="00153531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F263E6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5074D6" w:rsidRPr="00F263E6" w:rsidRDefault="005074D6" w:rsidP="0015353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5074D6" w:rsidRPr="00F263E6" w:rsidRDefault="005074D6" w:rsidP="003F64C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263E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</w:tc>
        <w:tc>
          <w:tcPr>
            <w:tcW w:w="2521" w:type="dxa"/>
          </w:tcPr>
          <w:p w:rsidR="005074D6" w:rsidRPr="00F263E6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14.1. Realización de recitaciones de rimas, rondas, canciones, adivinanzas, trabalenguas y otras formas literarias.</w:t>
            </w:r>
          </w:p>
          <w:p w:rsidR="005074D6" w:rsidRPr="00F263E6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5074D6" w:rsidRPr="00F263E6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(14. Diversas manifestaciones del lenguaje oral: dramatizaciones,  recitaciones.</w:t>
            </w:r>
          </w:p>
          <w:p w:rsidR="005074D6" w:rsidRPr="00F263E6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Como:</w:t>
            </w:r>
          </w:p>
          <w:p w:rsidR="005074D6" w:rsidRPr="00F263E6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•Desarrollar lo propuesto en</w:t>
            </w:r>
          </w:p>
          <w:p w:rsidR="005074D6" w:rsidRPr="00F263E6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la Unidad de comprensión</w:t>
            </w:r>
          </w:p>
          <w:p w:rsidR="005074D6" w:rsidRPr="00F263E6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y expresión oral (de los</w:t>
            </w:r>
          </w:p>
          <w:p w:rsidR="005074D6" w:rsidRPr="00F263E6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dos primeros años) en los</w:t>
            </w:r>
          </w:p>
          <w:p w:rsidR="005074D6" w:rsidRPr="00F263E6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contenidos:</w:t>
            </w:r>
          </w:p>
          <w:p w:rsidR="005074D6" w:rsidRPr="00F263E6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Conceptuales, punto 2.</w:t>
            </w:r>
          </w:p>
          <w:p w:rsidR="005074D6" w:rsidRPr="00F263E6" w:rsidRDefault="005074D6" w:rsidP="005074D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263E6">
              <w:rPr>
                <w:rFonts w:eastAsia="Times New Roman" w:cs="Arial"/>
                <w:lang w:eastAsia="es-ES"/>
              </w:rPr>
              <w:t>Procedimentales, puntos 2.6.</w:t>
            </w:r>
          </w:p>
          <w:p w:rsidR="005074D6" w:rsidRPr="00F263E6" w:rsidRDefault="005074D6" w:rsidP="00257047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F263E6">
              <w:rPr>
                <w:rFonts w:eastAsia="Times New Roman" w:cs="Arial"/>
                <w:lang w:eastAsia="es-ES"/>
              </w:rPr>
              <w:t>Actitudinales</w:t>
            </w:r>
            <w:r w:rsidR="00257047" w:rsidRPr="00F263E6">
              <w:rPr>
                <w:rFonts w:eastAsia="Times New Roman" w:cs="Arial"/>
                <w:lang w:eastAsia="es-ES"/>
              </w:rPr>
              <w:t xml:space="preserve"> </w:t>
            </w:r>
            <w:r w:rsidRPr="00F263E6">
              <w:rPr>
                <w:rFonts w:eastAsia="Times New Roman" w:cs="Arial"/>
                <w:lang w:eastAsia="es-ES"/>
              </w:rPr>
              <w:t>correspondientes).</w:t>
            </w:r>
          </w:p>
        </w:tc>
        <w:tc>
          <w:tcPr>
            <w:tcW w:w="0" w:type="auto"/>
          </w:tcPr>
          <w:p w:rsidR="005074D6" w:rsidRPr="00F263E6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263E6">
              <w:rPr>
                <w:rFonts w:cs="Arial"/>
                <w:color w:val="BF8F00" w:themeColor="accent4" w:themeShade="BF"/>
              </w:rPr>
              <w:t xml:space="preserve">Sigue indicaciones básicas para </w:t>
            </w:r>
            <w:r w:rsidR="00D15558" w:rsidRPr="00F263E6">
              <w:rPr>
                <w:rFonts w:cs="Arial"/>
                <w:color w:val="BF8F00" w:themeColor="accent4" w:themeShade="BF"/>
              </w:rPr>
              <w:t>realizar una manifestación del lenguaje oral (recitación, dramatización)</w:t>
            </w:r>
            <w:r w:rsidRPr="00F263E6">
              <w:rPr>
                <w:rFonts w:cs="Arial"/>
                <w:color w:val="BF8F00" w:themeColor="accent4" w:themeShade="BF"/>
              </w:rPr>
              <w:t xml:space="preserve">. </w:t>
            </w:r>
          </w:p>
          <w:p w:rsidR="005074D6" w:rsidRPr="00F263E6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5074D6" w:rsidRPr="00F263E6" w:rsidRDefault="00A2525E" w:rsidP="0015353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263E6">
              <w:rPr>
                <w:rFonts w:cs="Arial"/>
                <w:color w:val="BF8F00" w:themeColor="accent4" w:themeShade="BF"/>
              </w:rPr>
              <w:t>Formula esquemas para realizar</w:t>
            </w:r>
            <w:r w:rsidR="005074D6" w:rsidRPr="00F263E6">
              <w:rPr>
                <w:rFonts w:cs="Arial"/>
                <w:color w:val="BF8F00" w:themeColor="accent4" w:themeShade="BF"/>
              </w:rPr>
              <w:t xml:space="preserve"> </w:t>
            </w:r>
            <w:r w:rsidR="00D15558" w:rsidRPr="00F263E6">
              <w:rPr>
                <w:rFonts w:cs="Arial"/>
                <w:color w:val="BF8F00" w:themeColor="accent4" w:themeShade="BF"/>
              </w:rPr>
              <w:t>una manifestación del lenguaje oral (recitación, dramatización).</w:t>
            </w:r>
          </w:p>
          <w:p w:rsidR="005074D6" w:rsidRPr="00F263E6" w:rsidRDefault="005074D6" w:rsidP="0015353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5074D6" w:rsidRPr="00F263E6" w:rsidRDefault="005074D6" w:rsidP="003F64C0">
            <w:pPr>
              <w:autoSpaceDE w:val="0"/>
              <w:autoSpaceDN w:val="0"/>
              <w:adjustRightInd w:val="0"/>
              <w:jc w:val="center"/>
            </w:pPr>
            <w:r w:rsidRPr="00F263E6">
              <w:rPr>
                <w:rFonts w:cs="Arial"/>
                <w:color w:val="BF8F00" w:themeColor="accent4" w:themeShade="BF"/>
              </w:rPr>
              <w:t xml:space="preserve">Demuestra la comprensión de un tema a partir </w:t>
            </w:r>
            <w:r w:rsidR="00D15558" w:rsidRPr="00F263E6">
              <w:rPr>
                <w:rFonts w:cs="Arial"/>
                <w:color w:val="BF8F00" w:themeColor="accent4" w:themeShade="BF"/>
              </w:rPr>
              <w:t xml:space="preserve">una manifestación del lenguaje oral (recitación, dramatización). </w:t>
            </w:r>
          </w:p>
        </w:tc>
        <w:tc>
          <w:tcPr>
            <w:tcW w:w="6890" w:type="dxa"/>
          </w:tcPr>
          <w:p w:rsidR="005074D6" w:rsidRPr="00F263E6" w:rsidRDefault="005074D6" w:rsidP="00153531">
            <w:pPr>
              <w:jc w:val="both"/>
              <w:rPr>
                <w:rFonts w:cs="Arial"/>
              </w:rPr>
            </w:pPr>
          </w:p>
        </w:tc>
      </w:tr>
    </w:tbl>
    <w:p w:rsidR="005074D6" w:rsidRPr="00F263E6" w:rsidRDefault="005074D6" w:rsidP="005074D6">
      <w:pPr>
        <w:spacing w:after="0"/>
        <w:rPr>
          <w:rFonts w:cs="Arial"/>
        </w:rPr>
      </w:pPr>
    </w:p>
    <w:p w:rsidR="005074D6" w:rsidRPr="00F263E6" w:rsidRDefault="005074D6" w:rsidP="005074D6">
      <w:pPr>
        <w:spacing w:after="0"/>
        <w:jc w:val="center"/>
        <w:rPr>
          <w:b/>
        </w:rPr>
      </w:pPr>
    </w:p>
    <w:p w:rsidR="003730ED" w:rsidRPr="003053CA" w:rsidRDefault="003730ED" w:rsidP="003730ED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5074D6" w:rsidRPr="00F263E6" w:rsidRDefault="005074D6" w:rsidP="005074D6">
      <w:pPr>
        <w:jc w:val="center"/>
        <w:rPr>
          <w:b/>
        </w:rPr>
      </w:pPr>
    </w:p>
    <w:p w:rsidR="005074D6" w:rsidRPr="00F263E6" w:rsidRDefault="005074D6" w:rsidP="005074D6">
      <w:pPr>
        <w:spacing w:after="0"/>
        <w:jc w:val="center"/>
        <w:rPr>
          <w:b/>
        </w:rPr>
      </w:pPr>
      <w:r w:rsidRPr="00F263E6">
        <w:rPr>
          <w:b/>
        </w:rPr>
        <w:t>Instrumento de proceso</w:t>
      </w:r>
    </w:p>
    <w:p w:rsidR="005074D6" w:rsidRPr="00F263E6" w:rsidRDefault="005074D6" w:rsidP="005074D6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A453C8" w:rsidRPr="00F263E6" w:rsidTr="00A453C8">
        <w:tc>
          <w:tcPr>
            <w:tcW w:w="1173" w:type="pct"/>
            <w:vAlign w:val="center"/>
          </w:tcPr>
          <w:p w:rsidR="00A453C8" w:rsidRPr="00F263E6" w:rsidRDefault="00A453C8" w:rsidP="00A453C8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263E6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A453C8" w:rsidRPr="00F263E6" w:rsidRDefault="00A453C8" w:rsidP="00A453C8">
            <w:pPr>
              <w:jc w:val="center"/>
              <w:rPr>
                <w:b/>
              </w:rPr>
            </w:pPr>
            <w:r w:rsidRPr="00F263E6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A453C8" w:rsidRPr="00F263E6" w:rsidRDefault="00A453C8" w:rsidP="00A453C8">
            <w:pPr>
              <w:jc w:val="center"/>
              <w:rPr>
                <w:b/>
              </w:rPr>
            </w:pPr>
            <w:r w:rsidRPr="00F263E6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A453C8" w:rsidRPr="00F263E6" w:rsidRDefault="00A453C8" w:rsidP="00A453C8">
            <w:pPr>
              <w:jc w:val="center"/>
              <w:rPr>
                <w:b/>
              </w:rPr>
            </w:pPr>
            <w:r w:rsidRPr="00F263E6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A453C8" w:rsidRPr="00F263E6" w:rsidRDefault="00A453C8" w:rsidP="00A453C8">
            <w:pPr>
              <w:jc w:val="center"/>
              <w:rPr>
                <w:b/>
              </w:rPr>
            </w:pPr>
            <w:r w:rsidRPr="00F263E6">
              <w:rPr>
                <w:b/>
              </w:rPr>
              <w:t>Avanzado</w:t>
            </w:r>
          </w:p>
        </w:tc>
      </w:tr>
      <w:tr w:rsidR="00EF5CE8" w:rsidRPr="00F263E6" w:rsidTr="00A453C8">
        <w:trPr>
          <w:trHeight w:val="1233"/>
        </w:trPr>
        <w:tc>
          <w:tcPr>
            <w:tcW w:w="1173" w:type="pct"/>
          </w:tcPr>
          <w:p w:rsidR="00EF5CE8" w:rsidRPr="00F263E6" w:rsidRDefault="00EF5CE8" w:rsidP="00EF5CE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EF5CE8" w:rsidRPr="00F263E6" w:rsidRDefault="00EF5CE8" w:rsidP="00EF5CE8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</w:tcPr>
          <w:p w:rsidR="00EF5CE8" w:rsidRDefault="00EF5CE8" w:rsidP="00EF5CE8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Sigue indicaciones básicas para realizar una manifestación del lenguaje oral (recitación, dramatización).</w:t>
            </w:r>
          </w:p>
        </w:tc>
        <w:tc>
          <w:tcPr>
            <w:tcW w:w="873" w:type="pct"/>
          </w:tcPr>
          <w:p w:rsidR="00EF5CE8" w:rsidRDefault="00EF5CE8" w:rsidP="00EF5CE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Indica aspectos básicos para realizar una manifestación del lenguaje oral (recitación, dramatización).</w:t>
            </w:r>
          </w:p>
          <w:p w:rsidR="00EF5CE8" w:rsidRDefault="00EF5CE8" w:rsidP="00EF5CE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831" w:type="pct"/>
          </w:tcPr>
          <w:p w:rsidR="00EF5CE8" w:rsidRDefault="00EF5CE8" w:rsidP="00EF5CE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Alude, de forma general, a los temas de una manifestación del lenguaje oral (recitación, dramatización).</w:t>
            </w:r>
          </w:p>
        </w:tc>
        <w:tc>
          <w:tcPr>
            <w:tcW w:w="950" w:type="pct"/>
          </w:tcPr>
          <w:p w:rsidR="00EF5CE8" w:rsidRDefault="00EF5CE8" w:rsidP="00EF5CE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Efectúa una manifestación del lenguaje oral (recitación, dramatización).</w:t>
            </w:r>
          </w:p>
          <w:p w:rsidR="00EF5CE8" w:rsidRDefault="00EF5CE8" w:rsidP="00EF5CE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EF5CE8" w:rsidRPr="00F263E6" w:rsidTr="00A453C8">
        <w:trPr>
          <w:trHeight w:val="590"/>
        </w:trPr>
        <w:tc>
          <w:tcPr>
            <w:tcW w:w="1173" w:type="pct"/>
          </w:tcPr>
          <w:p w:rsidR="00EF5CE8" w:rsidRPr="00F263E6" w:rsidRDefault="00EF5CE8" w:rsidP="00EF5CE8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F263E6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EF5CE8" w:rsidRPr="00F263E6" w:rsidRDefault="00EF5CE8" w:rsidP="00EF5CE8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</w:tcPr>
          <w:p w:rsidR="00EF5CE8" w:rsidRDefault="00EF5CE8" w:rsidP="00EF5CE8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esquemas para realizar una manifestación del lenguaje oral (recitación, dramatización).</w:t>
            </w:r>
          </w:p>
          <w:p w:rsidR="00EF5CE8" w:rsidRDefault="00EF5CE8" w:rsidP="00EF5CE8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EF5CE8" w:rsidRDefault="00EF5CE8" w:rsidP="00EF5CE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ideas que esquematizan el tema para la manifestación del lenguaje.</w:t>
            </w:r>
          </w:p>
        </w:tc>
        <w:tc>
          <w:tcPr>
            <w:tcW w:w="831" w:type="pct"/>
          </w:tcPr>
          <w:p w:rsidR="00EF5CE8" w:rsidRDefault="00EF5CE8" w:rsidP="00EF5CE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ideas del esquema con la estructura que tendrá la manifestación del lenguaje.</w:t>
            </w:r>
          </w:p>
        </w:tc>
        <w:tc>
          <w:tcPr>
            <w:tcW w:w="950" w:type="pct"/>
          </w:tcPr>
          <w:p w:rsidR="00EF5CE8" w:rsidRDefault="00EF5CE8" w:rsidP="00EF5CE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Precisa los pasos para realizar una manifestación del lenguaje oral (recitación, dramatización).</w:t>
            </w:r>
          </w:p>
          <w:p w:rsidR="00EF5CE8" w:rsidRDefault="00EF5CE8" w:rsidP="00EF5CE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</w:p>
        </w:tc>
      </w:tr>
      <w:tr w:rsidR="00EF5CE8" w:rsidRPr="00F263E6" w:rsidTr="00A453C8">
        <w:trPr>
          <w:trHeight w:val="901"/>
        </w:trPr>
        <w:tc>
          <w:tcPr>
            <w:tcW w:w="1173" w:type="pct"/>
          </w:tcPr>
          <w:p w:rsidR="00EF5CE8" w:rsidRPr="00F263E6" w:rsidRDefault="00EF5CE8" w:rsidP="00EF5CE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263E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EF5CE8" w:rsidRPr="00F263E6" w:rsidRDefault="00EF5CE8" w:rsidP="00EF5CE8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auto"/>
          </w:tcPr>
          <w:p w:rsidR="00EF5CE8" w:rsidRDefault="00EF5CE8" w:rsidP="00EF5CE8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EF5CE8" w:rsidRDefault="00EF5CE8" w:rsidP="00EF5CE8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Demuestra la comprensión de un tema a partir una manifestación del lenguaje oral (recitación, dramatización).</w:t>
            </w:r>
          </w:p>
        </w:tc>
        <w:tc>
          <w:tcPr>
            <w:tcW w:w="873" w:type="pct"/>
          </w:tcPr>
          <w:p w:rsidR="00EF5CE8" w:rsidRDefault="00EF5CE8" w:rsidP="00EF5CE8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generales de </w:t>
            </w:r>
            <w:r>
              <w:rPr>
                <w:rFonts w:asciiTheme="minorHAnsi" w:hAnsiTheme="minorHAnsi" w:cs="Arial"/>
                <w:sz w:val="22"/>
                <w:szCs w:val="22"/>
              </w:rPr>
              <w:t>su manifestación oral.</w:t>
            </w:r>
          </w:p>
        </w:tc>
        <w:tc>
          <w:tcPr>
            <w:tcW w:w="831" w:type="pct"/>
            <w:vAlign w:val="center"/>
          </w:tcPr>
          <w:p w:rsidR="00EF5CE8" w:rsidRDefault="00EF5CE8" w:rsidP="00EF5CE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Brinda datos simples de comprensión a partir de su manifestación oral.</w:t>
            </w:r>
          </w:p>
        </w:tc>
        <w:tc>
          <w:tcPr>
            <w:tcW w:w="950" w:type="pct"/>
            <w:vAlign w:val="center"/>
          </w:tcPr>
          <w:p w:rsidR="00EF5CE8" w:rsidRDefault="00EF5CE8" w:rsidP="00EF5CE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Específica datos puntuales de comprensión de su manifestación oral.</w:t>
            </w:r>
          </w:p>
        </w:tc>
      </w:tr>
    </w:tbl>
    <w:p w:rsidR="005074D6" w:rsidRDefault="005074D6" w:rsidP="008761F9">
      <w:pPr>
        <w:jc w:val="center"/>
        <w:rPr>
          <w:b/>
        </w:rPr>
      </w:pPr>
    </w:p>
    <w:p w:rsidR="00BE70ED" w:rsidRDefault="00BE70ED" w:rsidP="008761F9">
      <w:pPr>
        <w:jc w:val="center"/>
        <w:rPr>
          <w:b/>
        </w:rPr>
      </w:pPr>
    </w:p>
    <w:p w:rsidR="00BE70ED" w:rsidRDefault="00BE70ED" w:rsidP="008761F9">
      <w:pPr>
        <w:jc w:val="center"/>
        <w:rPr>
          <w:b/>
        </w:rPr>
      </w:pPr>
    </w:p>
    <w:p w:rsidR="00BE70ED" w:rsidRDefault="00BE70ED" w:rsidP="008761F9">
      <w:pPr>
        <w:jc w:val="center"/>
        <w:rPr>
          <w:b/>
        </w:rPr>
      </w:pPr>
    </w:p>
    <w:p w:rsidR="00BE70ED" w:rsidRDefault="00BE70ED" w:rsidP="008761F9">
      <w:pPr>
        <w:jc w:val="center"/>
        <w:rPr>
          <w:b/>
        </w:rPr>
      </w:pPr>
    </w:p>
    <w:p w:rsidR="00BE70ED" w:rsidRDefault="00BE70ED" w:rsidP="008761F9">
      <w:pPr>
        <w:jc w:val="center"/>
        <w:rPr>
          <w:b/>
        </w:rPr>
      </w:pPr>
      <w:r w:rsidRPr="00175DB0">
        <w:rPr>
          <w:rFonts w:cs="Arial"/>
          <w:b/>
        </w:rPr>
        <w:lastRenderedPageBreak/>
        <w:t>Valo</w:t>
      </w:r>
      <w:r>
        <w:rPr>
          <w:rFonts w:cs="Arial"/>
          <w:b/>
        </w:rPr>
        <w:t xml:space="preserve">ración </w:t>
      </w:r>
      <w:r w:rsidRPr="007845E3">
        <w:rPr>
          <w:rFonts w:cs="Arial"/>
          <w:b/>
          <w:i/>
          <w:u w:val="single"/>
        </w:rPr>
        <w:t xml:space="preserve">general </w:t>
      </w:r>
      <w:r>
        <w:rPr>
          <w:rFonts w:cs="Arial"/>
          <w:b/>
        </w:rPr>
        <w:t>de la</w:t>
      </w:r>
      <w:r w:rsidRPr="00175DB0">
        <w:rPr>
          <w:rFonts w:cs="Arial"/>
          <w:b/>
        </w:rPr>
        <w:t xml:space="preserve"> habilidad de colaboración</w:t>
      </w:r>
      <w:r>
        <w:rPr>
          <w:rFonts w:cs="Arial"/>
          <w:b/>
        </w:rPr>
        <w:tab/>
      </w:r>
    </w:p>
    <w:p w:rsidR="00BE70ED" w:rsidRDefault="00BE70ED" w:rsidP="008761F9">
      <w:pPr>
        <w:jc w:val="center"/>
        <w:rPr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BE70ED" w:rsidRPr="00175DB0" w:rsidTr="00AF2631">
        <w:tc>
          <w:tcPr>
            <w:tcW w:w="892" w:type="pct"/>
            <w:vMerge w:val="restart"/>
          </w:tcPr>
          <w:p w:rsidR="00BE70ED" w:rsidRPr="00175DB0" w:rsidRDefault="00BE70ED" w:rsidP="00AF2631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BE70ED" w:rsidRPr="00175DB0" w:rsidRDefault="00BE70ED" w:rsidP="00AF2631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BE70ED" w:rsidRPr="00175DB0" w:rsidRDefault="00BE70ED" w:rsidP="00AF2631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Nivel de desempeño</w:t>
            </w:r>
          </w:p>
        </w:tc>
      </w:tr>
      <w:tr w:rsidR="00BE70ED" w:rsidRPr="00175DB0" w:rsidTr="00AF2631">
        <w:tc>
          <w:tcPr>
            <w:tcW w:w="892" w:type="pct"/>
            <w:vMerge/>
          </w:tcPr>
          <w:p w:rsidR="00BE70ED" w:rsidRPr="00175DB0" w:rsidRDefault="00BE70ED" w:rsidP="00AF2631">
            <w:pPr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BE70ED" w:rsidRPr="00175DB0" w:rsidRDefault="00BE70ED" w:rsidP="00AF263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BE70ED" w:rsidRPr="00175DB0" w:rsidRDefault="00BE70ED" w:rsidP="00AF2631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BE70ED" w:rsidRPr="00175DB0" w:rsidRDefault="00BE70ED" w:rsidP="00AF2631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BE70ED" w:rsidRPr="00175DB0" w:rsidRDefault="00BE70ED" w:rsidP="00AF2631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Avanzado</w:t>
            </w:r>
          </w:p>
        </w:tc>
      </w:tr>
      <w:tr w:rsidR="00BE70ED" w:rsidRPr="00175DB0" w:rsidTr="00AF2631">
        <w:trPr>
          <w:trHeight w:val="20"/>
        </w:trPr>
        <w:tc>
          <w:tcPr>
            <w:tcW w:w="892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BE70ED" w:rsidRPr="00175DB0" w:rsidTr="00AF2631">
        <w:trPr>
          <w:trHeight w:val="20"/>
        </w:trPr>
        <w:tc>
          <w:tcPr>
            <w:tcW w:w="892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Toma de perspectiva</w:t>
            </w:r>
          </w:p>
        </w:tc>
        <w:tc>
          <w:tcPr>
            <w:tcW w:w="891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BE70ED" w:rsidRPr="00175DB0" w:rsidTr="00AF2631">
        <w:trPr>
          <w:trHeight w:val="20"/>
        </w:trPr>
        <w:tc>
          <w:tcPr>
            <w:tcW w:w="892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BE70ED" w:rsidRPr="00175DB0" w:rsidRDefault="00BE70ED" w:rsidP="00AF2631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</w:tbl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  <w:bookmarkStart w:id="0" w:name="_GoBack"/>
      <w:bookmarkEnd w:id="0"/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AD05F7" w:rsidRDefault="00AD05F7" w:rsidP="00AD05F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AD05F7" w:rsidRDefault="00AD05F7" w:rsidP="00AD05F7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AD05F7" w:rsidRDefault="00AD05F7" w:rsidP="00AD05F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AD05F7" w:rsidRDefault="00AD05F7" w:rsidP="00AD05F7">
      <w:pPr>
        <w:pStyle w:val="Sinespaciado"/>
        <w:rPr>
          <w:rFonts w:ascii="Cambria" w:eastAsia="Calibri" w:hAnsi="Cambria" w:cs="Arial"/>
          <w:lang w:eastAsia="en-US"/>
        </w:rPr>
      </w:pPr>
    </w:p>
    <w:p w:rsidR="00AD05F7" w:rsidRDefault="00AD05F7" w:rsidP="00AD05F7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AD05F7" w:rsidRDefault="00AD05F7" w:rsidP="00AD05F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AD05F7" w:rsidRDefault="00AD05F7" w:rsidP="00AD05F7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AD05F7" w:rsidRDefault="00AD05F7" w:rsidP="00AD05F7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AD05F7" w:rsidRDefault="00AD05F7" w:rsidP="00AD05F7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AD05F7" w:rsidRDefault="00AD05F7" w:rsidP="00AD05F7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AD05F7" w:rsidRDefault="00AD05F7" w:rsidP="00AD05F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AD05F7" w:rsidRDefault="00AD05F7" w:rsidP="00AD05F7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AD05F7" w:rsidRDefault="00AD05F7" w:rsidP="00AD05F7">
      <w:pPr>
        <w:rPr>
          <w:rFonts w:ascii="Calibri" w:eastAsia="Calibri" w:hAnsi="Calibri" w:cs="Times New Roman"/>
        </w:rPr>
      </w:pPr>
      <w:r>
        <w:t xml:space="preserve"> </w:t>
      </w:r>
    </w:p>
    <w:p w:rsidR="00AD05F7" w:rsidRDefault="00AD05F7" w:rsidP="00AD05F7">
      <w:pPr>
        <w:rPr>
          <w:b/>
        </w:rPr>
      </w:pPr>
      <w:r>
        <w:rPr>
          <w:b/>
        </w:rPr>
        <w:t>Docentes:</w:t>
      </w:r>
    </w:p>
    <w:p w:rsidR="00AD05F7" w:rsidRDefault="00AD05F7" w:rsidP="00AD05F7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AD05F7" w:rsidRDefault="00AD05F7" w:rsidP="00AD05F7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AD05F7" w:rsidRDefault="00AD05F7" w:rsidP="00AD05F7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AD05F7" w:rsidRDefault="00AD05F7" w:rsidP="00AD05F7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AD05F7" w:rsidRDefault="00AD05F7" w:rsidP="00AD05F7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AD05F7" w:rsidRDefault="00AD05F7" w:rsidP="00AD05F7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AD05F7" w:rsidRDefault="00AD05F7" w:rsidP="00AD05F7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BE70ED" w:rsidRPr="00F263E6" w:rsidRDefault="00BE70ED" w:rsidP="008761F9">
      <w:pPr>
        <w:jc w:val="center"/>
        <w:rPr>
          <w:b/>
        </w:rPr>
      </w:pPr>
    </w:p>
    <w:sectPr w:rsidR="00BE70ED" w:rsidRPr="00F263E6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D6C" w:rsidRDefault="004C4D6C" w:rsidP="00140D69">
      <w:pPr>
        <w:spacing w:after="0" w:line="240" w:lineRule="auto"/>
      </w:pPr>
      <w:r>
        <w:separator/>
      </w:r>
    </w:p>
  </w:endnote>
  <w:endnote w:type="continuationSeparator" w:id="0">
    <w:p w:rsidR="004C4D6C" w:rsidRDefault="004C4D6C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 w:rsidP="003944E7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3944E7" w:rsidRDefault="003944E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D6C" w:rsidRDefault="004C4D6C" w:rsidP="00140D69">
      <w:pPr>
        <w:spacing w:after="0" w:line="240" w:lineRule="auto"/>
      </w:pPr>
      <w:r>
        <w:separator/>
      </w:r>
    </w:p>
  </w:footnote>
  <w:footnote w:type="continuationSeparator" w:id="0">
    <w:p w:rsidR="004C4D6C" w:rsidRDefault="004C4D6C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4E7" w:rsidRDefault="003944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57047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343A9"/>
    <w:rsid w:val="003631CE"/>
    <w:rsid w:val="00366809"/>
    <w:rsid w:val="00366BBE"/>
    <w:rsid w:val="003730ED"/>
    <w:rsid w:val="00374ABB"/>
    <w:rsid w:val="003944E7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40F4E"/>
    <w:rsid w:val="004516A4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49F7"/>
    <w:rsid w:val="004C4D6C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0549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1F9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0C94"/>
    <w:rsid w:val="008F2F63"/>
    <w:rsid w:val="0090278C"/>
    <w:rsid w:val="00905636"/>
    <w:rsid w:val="00905B41"/>
    <w:rsid w:val="0091425F"/>
    <w:rsid w:val="0092755B"/>
    <w:rsid w:val="00945D5E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C6A5B"/>
    <w:rsid w:val="009D2419"/>
    <w:rsid w:val="009D4028"/>
    <w:rsid w:val="009E03BE"/>
    <w:rsid w:val="009E1738"/>
    <w:rsid w:val="009E42EE"/>
    <w:rsid w:val="009E5CCD"/>
    <w:rsid w:val="00A021A3"/>
    <w:rsid w:val="00A03EE4"/>
    <w:rsid w:val="00A2078B"/>
    <w:rsid w:val="00A2525E"/>
    <w:rsid w:val="00A25BC8"/>
    <w:rsid w:val="00A32E05"/>
    <w:rsid w:val="00A37033"/>
    <w:rsid w:val="00A44822"/>
    <w:rsid w:val="00A453C8"/>
    <w:rsid w:val="00A54E93"/>
    <w:rsid w:val="00A55053"/>
    <w:rsid w:val="00A61D86"/>
    <w:rsid w:val="00A63175"/>
    <w:rsid w:val="00A64FC4"/>
    <w:rsid w:val="00A704E2"/>
    <w:rsid w:val="00A73979"/>
    <w:rsid w:val="00A8651C"/>
    <w:rsid w:val="00A9214B"/>
    <w:rsid w:val="00AA2BDA"/>
    <w:rsid w:val="00AC2998"/>
    <w:rsid w:val="00AD048B"/>
    <w:rsid w:val="00AD05F7"/>
    <w:rsid w:val="00AD1B57"/>
    <w:rsid w:val="00AD7A51"/>
    <w:rsid w:val="00AD7FF8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BE70ED"/>
    <w:rsid w:val="00C01A39"/>
    <w:rsid w:val="00C01A8D"/>
    <w:rsid w:val="00C22F48"/>
    <w:rsid w:val="00C40B6B"/>
    <w:rsid w:val="00C42102"/>
    <w:rsid w:val="00C457F7"/>
    <w:rsid w:val="00C50F90"/>
    <w:rsid w:val="00C52F52"/>
    <w:rsid w:val="00C56724"/>
    <w:rsid w:val="00C673A4"/>
    <w:rsid w:val="00C76F13"/>
    <w:rsid w:val="00C77DDF"/>
    <w:rsid w:val="00C84AB5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628B"/>
    <w:rsid w:val="00DB16C0"/>
    <w:rsid w:val="00DB48B0"/>
    <w:rsid w:val="00DE20D9"/>
    <w:rsid w:val="00E02759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EF5CE8"/>
    <w:rsid w:val="00F12D32"/>
    <w:rsid w:val="00F153EB"/>
    <w:rsid w:val="00F24DD5"/>
    <w:rsid w:val="00F263E6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84C34"/>
    <w:rsid w:val="00F84E9C"/>
    <w:rsid w:val="00F865C2"/>
    <w:rsid w:val="00F86EF6"/>
    <w:rsid w:val="00F956EA"/>
    <w:rsid w:val="00FA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BE7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AD05F7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07BC1-5EC2-421F-8D09-1DE34533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7</Pages>
  <Words>1435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301</cp:revision>
  <dcterms:created xsi:type="dcterms:W3CDTF">2019-02-28T19:25:00Z</dcterms:created>
  <dcterms:modified xsi:type="dcterms:W3CDTF">2019-12-02T16:17:00Z</dcterms:modified>
</cp:coreProperties>
</file>