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FBF3A" w14:textId="3507C3BA" w:rsidR="00D7493F" w:rsidRPr="00A51050" w:rsidRDefault="00D7493F" w:rsidP="000A3588">
      <w:pPr>
        <w:spacing w:after="0" w:line="276" w:lineRule="auto"/>
        <w:jc w:val="center"/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Español</w:t>
      </w:r>
    </w:p>
    <w:p w14:paraId="3254E959" w14:textId="2C4ABE63" w:rsidR="000A3588" w:rsidRPr="00A51050" w:rsidRDefault="007F76E2" w:rsidP="00A51050">
      <w:pPr>
        <w:spacing w:after="0" w:line="276" w:lineRule="auto"/>
        <w:jc w:val="center"/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Orientaciones </w:t>
      </w:r>
      <w:r w:rsidR="000A3588"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para la implementación de</w:t>
      </w:r>
      <w:r w:rsidR="00D164E4"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l</w:t>
      </w:r>
      <w:r w:rsidR="000A3588"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planeamiento en </w:t>
      </w:r>
      <w:r w:rsidR="00286AAC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octavo</w:t>
      </w:r>
      <w:r w:rsidR="005E04A3"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a</w:t>
      </w:r>
      <w:r w:rsidR="00BF1202"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ñ</w:t>
      </w:r>
      <w:r w:rsidR="000A3588" w:rsidRPr="00A51050">
        <w:rPr>
          <w:rFonts w:eastAsia="Arial" w:cs="Arial"/>
          <w:b/>
          <w:i/>
          <w:color w:val="1F4E79" w:themeColor="accent1" w:themeShade="8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o</w:t>
      </w:r>
    </w:p>
    <w:p w14:paraId="60C8DD47" w14:textId="18C8EB8B" w:rsidR="000A3588" w:rsidRPr="000A3588" w:rsidRDefault="000A3588" w:rsidP="000A3588">
      <w:pPr>
        <w:spacing w:after="0" w:line="276" w:lineRule="auto"/>
        <w:rPr>
          <w:rFonts w:eastAsia="Arial" w:cs="Arial"/>
          <w:b/>
          <w:spacing w:val="-1"/>
        </w:rPr>
      </w:pPr>
    </w:p>
    <w:p w14:paraId="7C1F242A" w14:textId="0DBB2D2A" w:rsidR="00333A60" w:rsidRPr="002C45BB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b/>
          <w:i/>
          <w:spacing w:val="-1"/>
        </w:rPr>
        <w:t xml:space="preserve">¿Cómo </w:t>
      </w:r>
      <w:r w:rsidR="00FB6B02">
        <w:rPr>
          <w:rFonts w:eastAsia="Arial" w:cs="Arial"/>
          <w:b/>
          <w:i/>
          <w:spacing w:val="-1"/>
        </w:rPr>
        <w:t>implementar</w:t>
      </w:r>
      <w:r>
        <w:rPr>
          <w:rFonts w:eastAsia="Arial" w:cs="Arial"/>
          <w:b/>
          <w:i/>
          <w:spacing w:val="-1"/>
        </w:rPr>
        <w:t xml:space="preserve"> el planeamiento?</w:t>
      </w:r>
    </w:p>
    <w:p w14:paraId="51BB5139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b/>
          <w:spacing w:val="-1"/>
        </w:rPr>
      </w:pPr>
    </w:p>
    <w:p w14:paraId="65B4AB15" w14:textId="0094793D" w:rsidR="009B1B12" w:rsidRPr="009B1B12" w:rsidRDefault="009B1B12" w:rsidP="009B1B12">
      <w:pPr>
        <w:pStyle w:val="Prrafodelista"/>
        <w:keepNext/>
        <w:framePr w:dropCap="drop" w:lines="3" w:wrap="around" w:vAnchor="text" w:hAnchor="text"/>
        <w:spacing w:after="0" w:line="926" w:lineRule="exact"/>
        <w:ind w:left="0"/>
        <w:contextualSpacing w:val="0"/>
        <w:jc w:val="both"/>
        <w:textAlignment w:val="baseline"/>
        <w:rPr>
          <w:rFonts w:eastAsia="Arial" w:cs="Arial"/>
          <w:spacing w:val="-1"/>
          <w:position w:val="-9"/>
          <w:sz w:val="123"/>
        </w:rPr>
      </w:pPr>
      <w:r w:rsidRPr="009B1B12">
        <w:rPr>
          <w:rFonts w:eastAsia="Arial" w:cs="Arial"/>
          <w:spacing w:val="-1"/>
          <w:position w:val="-9"/>
          <w:sz w:val="123"/>
        </w:rPr>
        <w:t>E</w:t>
      </w:r>
    </w:p>
    <w:p w14:paraId="1A27DC30" w14:textId="25887F9D" w:rsidR="00333A60" w:rsidRDefault="00333A60" w:rsidP="00D7493F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l enfoque del </w:t>
      </w:r>
      <w:r>
        <w:rPr>
          <w:rFonts w:eastAsia="Arial" w:cs="Arial"/>
          <w:i/>
          <w:spacing w:val="-1"/>
        </w:rPr>
        <w:t>Programa de estudio de Español: comunicación y comprensión lectora</w:t>
      </w:r>
      <w:r>
        <w:rPr>
          <w:rFonts w:eastAsia="Arial" w:cs="Arial"/>
          <w:spacing w:val="-1"/>
        </w:rPr>
        <w:t xml:space="preserve"> está dirigido hacia el desarrollo de la competencia comunicativa, escindida en la comunicación oral</w:t>
      </w:r>
      <w:r w:rsidR="00D7493F">
        <w:rPr>
          <w:rFonts w:eastAsia="Arial" w:cs="Arial"/>
          <w:spacing w:val="-1"/>
        </w:rPr>
        <w:t>-escucha</w:t>
      </w:r>
      <w:r>
        <w:rPr>
          <w:rFonts w:eastAsia="Arial" w:cs="Arial"/>
          <w:spacing w:val="-1"/>
        </w:rPr>
        <w:t>, la comunicación escrita y la comprensión lectora. Esta última es la que da sustento al desarrollo de las dos primeras. De ahí que los planeamientos  estén desarrollados a partir de la experiencia lectora y hacia la vivencia de la escritura y de la oralidad y escucha.</w:t>
      </w:r>
    </w:p>
    <w:p w14:paraId="0636E72C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</w:p>
    <w:p w14:paraId="034F2C46" w14:textId="5FEDC0DF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En concordancia con lo anterior, en el nivel de </w:t>
      </w:r>
      <w:r w:rsidR="00D92DE1">
        <w:rPr>
          <w:rFonts w:eastAsia="Arial" w:cs="Arial"/>
          <w:spacing w:val="-1"/>
        </w:rPr>
        <w:t>octavo</w:t>
      </w:r>
      <w:r>
        <w:rPr>
          <w:rFonts w:eastAsia="Arial" w:cs="Arial"/>
          <w:spacing w:val="-1"/>
        </w:rPr>
        <w:t xml:space="preserve"> año, la persona docente encuentra los siguientes planeamientos: el planeamiento anual: la lectura diaria, el planeamiento anual: la monografía, el planeamiento </w:t>
      </w:r>
      <w:r w:rsidR="00D94932">
        <w:rPr>
          <w:rFonts w:eastAsia="Arial" w:cs="Arial"/>
          <w:spacing w:val="-1"/>
        </w:rPr>
        <w:t>trimestral</w:t>
      </w:r>
      <w:r>
        <w:rPr>
          <w:rFonts w:eastAsia="Arial" w:cs="Arial"/>
          <w:spacing w:val="-1"/>
        </w:rPr>
        <w:t xml:space="preserve">: la novela, los planeamientos mensuales desde febrero hasta octubre,  los planeamientos de los criterios de evaluación transversales para todos los niveles: (séptimo, octavo, noveno, décimo, undécimo y duodécimo), los planeamiento de los criterios de evaluación transversales a partir de </w:t>
      </w:r>
      <w:proofErr w:type="spellStart"/>
      <w:r w:rsidR="00D92DE1">
        <w:rPr>
          <w:rFonts w:eastAsia="Arial" w:cs="Arial"/>
          <w:spacing w:val="-1"/>
        </w:rPr>
        <w:t>octvo</w:t>
      </w:r>
      <w:proofErr w:type="spellEnd"/>
      <w:r>
        <w:rPr>
          <w:rFonts w:eastAsia="Arial" w:cs="Arial"/>
          <w:spacing w:val="-1"/>
        </w:rPr>
        <w:t xml:space="preserve"> y para los niveles superiores (</w:t>
      </w:r>
      <w:r w:rsidR="007E6F39">
        <w:rPr>
          <w:rFonts w:eastAsia="Arial" w:cs="Arial"/>
          <w:spacing w:val="-1"/>
        </w:rPr>
        <w:t xml:space="preserve">noveno, </w:t>
      </w:r>
      <w:r>
        <w:rPr>
          <w:rFonts w:eastAsia="Arial" w:cs="Arial"/>
          <w:spacing w:val="-1"/>
        </w:rPr>
        <w:t>décimo, undécimo y duodécimo).  En el caso de los planeamientos referidos a los criterios transversales,  aunque en el programa están los criterios del saber conocer, del saber hacer  y del saber ser, se han seleccionado solo los criterios del saber hacer, pues implican a los otros dos.</w:t>
      </w:r>
    </w:p>
    <w:p w14:paraId="0F623021" w14:textId="5A0E90CA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Para efectos de la organización del trabajo de aula, la persona docente debe implementar en forma simultánea</w:t>
      </w:r>
      <w:r w:rsidR="00014F72">
        <w:rPr>
          <w:rFonts w:eastAsia="Arial" w:cs="Arial"/>
          <w:spacing w:val="-1"/>
        </w:rPr>
        <w:t>:</w:t>
      </w:r>
      <w:r>
        <w:rPr>
          <w:rFonts w:eastAsia="Arial" w:cs="Arial"/>
          <w:spacing w:val="-1"/>
        </w:rPr>
        <w:t xml:space="preserve"> </w:t>
      </w:r>
      <w:r w:rsidR="00014F72">
        <w:rPr>
          <w:rFonts w:eastAsia="Arial" w:cs="Arial"/>
          <w:spacing w:val="-1"/>
        </w:rPr>
        <w:t xml:space="preserve">el planeamiento mensual respectivo y  los planeamientos anuales. </w:t>
      </w:r>
      <w:r>
        <w:rPr>
          <w:rFonts w:eastAsia="Arial" w:cs="Arial"/>
          <w:spacing w:val="-1"/>
        </w:rPr>
        <w:t>A este deben adjuntarse, según la pertinencia para el desarrollo de la competencia comunicativa del estudiantado y el criterio experto de la persona docente, los planeamientos correspondientes a los criterios de evaluación transversales, seleccionados previamente.</w:t>
      </w:r>
      <w:r w:rsidR="00014F72">
        <w:rPr>
          <w:rFonts w:eastAsia="Arial" w:cs="Arial"/>
          <w:spacing w:val="-1"/>
        </w:rPr>
        <w:t xml:space="preserve"> Además, en el segundo periodo, debe incluir el planeamiento de la novela.</w:t>
      </w:r>
    </w:p>
    <w:p w14:paraId="44DD2C65" w14:textId="161D42EC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En el caso de la lectura diaria</w:t>
      </w:r>
      <w:r w:rsidR="001A7541">
        <w:rPr>
          <w:rFonts w:eastAsia="Arial" w:cs="Arial"/>
          <w:spacing w:val="-1"/>
        </w:rPr>
        <w:t xml:space="preserve">, la novela </w:t>
      </w:r>
      <w:r>
        <w:rPr>
          <w:rFonts w:eastAsia="Arial" w:cs="Arial"/>
          <w:spacing w:val="-1"/>
        </w:rPr>
        <w:t>y la monografía, se requiere de un cronograma que defina para la persona docente y</w:t>
      </w:r>
      <w:r w:rsidR="0013775A">
        <w:rPr>
          <w:rFonts w:eastAsia="Arial" w:cs="Arial"/>
          <w:spacing w:val="-1"/>
        </w:rPr>
        <w:t xml:space="preserve"> para</w:t>
      </w:r>
      <w:r>
        <w:rPr>
          <w:rFonts w:eastAsia="Arial" w:cs="Arial"/>
          <w:spacing w:val="-1"/>
        </w:rPr>
        <w:t xml:space="preserve"> el estudiantado, los momentos cuándo se dará seguimiento en el aula. </w:t>
      </w:r>
    </w:p>
    <w:p w14:paraId="73FCF754" w14:textId="5B92AAA4" w:rsidR="00333A60" w:rsidRDefault="0012109E" w:rsidP="00333A60">
      <w:pPr>
        <w:jc w:val="both"/>
        <w:rPr>
          <w:rFonts w:eastAsia="Arial" w:cs="Arial"/>
          <w:spacing w:val="-1"/>
        </w:rPr>
      </w:pPr>
      <w:r w:rsidRPr="0012109E">
        <w:rPr>
          <w:rFonts w:eastAsia="Arial" w:cs="Arial"/>
          <w:spacing w:val="-1"/>
        </w:rPr>
        <w:t>En la mayoría de los planeamientos se desarrollan las habilidades concernientes</w:t>
      </w:r>
      <w:r w:rsidR="00333A60">
        <w:rPr>
          <w:rFonts w:eastAsia="Arial" w:cs="Arial"/>
          <w:spacing w:val="-1"/>
        </w:rPr>
        <w:t xml:space="preserve"> a la comprensión lectora y la comunicación oral-escucha  y escrita.  A su vez, están integrad</w:t>
      </w:r>
      <w:r w:rsidR="00843F76">
        <w:rPr>
          <w:rFonts w:eastAsia="Arial" w:cs="Arial"/>
          <w:spacing w:val="-1"/>
        </w:rPr>
        <w:t>o</w:t>
      </w:r>
      <w:r w:rsidR="00333A60">
        <w:rPr>
          <w:rFonts w:eastAsia="Arial" w:cs="Arial"/>
          <w:spacing w:val="-1"/>
        </w:rPr>
        <w:t xml:space="preserve">s </w:t>
      </w:r>
      <w:r w:rsidR="00843F76">
        <w:rPr>
          <w:rFonts w:eastAsia="Arial" w:cs="Arial"/>
          <w:spacing w:val="-1"/>
        </w:rPr>
        <w:t>los diversos tipos de textos literarios y no literarios, l</w:t>
      </w:r>
      <w:r w:rsidR="00333A60">
        <w:rPr>
          <w:rFonts w:eastAsia="Arial" w:cs="Arial"/>
          <w:spacing w:val="-1"/>
        </w:rPr>
        <w:t>a</w:t>
      </w:r>
      <w:r w:rsidR="00843F76">
        <w:rPr>
          <w:rFonts w:eastAsia="Arial" w:cs="Arial"/>
          <w:spacing w:val="-1"/>
        </w:rPr>
        <w:t>s técnicas de comunicación oral y los tipos de textos escritos que el estudiantado debe aprender a escribir</w:t>
      </w:r>
      <w:r w:rsidR="00333A60">
        <w:rPr>
          <w:rFonts w:eastAsia="Arial" w:cs="Arial"/>
          <w:spacing w:val="-1"/>
        </w:rPr>
        <w:t xml:space="preserve">. </w:t>
      </w:r>
    </w:p>
    <w:p w14:paraId="5C01798E" w14:textId="77777777" w:rsidR="00333A60" w:rsidRDefault="00333A60" w:rsidP="00333A60">
      <w:pPr>
        <w:spacing w:after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De acuerdo con el panorama anterior, la persona docente debe acompañar el trabajo de aula con los siguientes documentos:</w:t>
      </w:r>
    </w:p>
    <w:p w14:paraId="3FA112C1" w14:textId="1C636037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lastRenderedPageBreak/>
        <w:t xml:space="preserve">El planeamiento anual: la lectura diaria, con el cronograma respectivo </w:t>
      </w:r>
      <w:r w:rsidR="00086B68">
        <w:rPr>
          <w:rFonts w:eastAsia="Arial" w:cs="Arial"/>
          <w:spacing w:val="-1"/>
        </w:rPr>
        <w:t>(que da cuenta de los momentos cuando dará seguimiento en el aula)</w:t>
      </w:r>
      <w:r>
        <w:rPr>
          <w:rFonts w:eastAsia="Arial" w:cs="Arial"/>
          <w:spacing w:val="-1"/>
        </w:rPr>
        <w:t>.</w:t>
      </w:r>
    </w:p>
    <w:p w14:paraId="21594B9C" w14:textId="3DA949CA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El planeamiento anual: la monografía, con el cronograma respectivo </w:t>
      </w:r>
      <w:r w:rsidR="00086B68">
        <w:rPr>
          <w:rFonts w:eastAsia="Arial" w:cs="Arial"/>
          <w:spacing w:val="-1"/>
        </w:rPr>
        <w:t>(que da cuenta de los momentos cuando dará seguimiento en el aula)</w:t>
      </w:r>
      <w:r>
        <w:rPr>
          <w:rFonts w:eastAsia="Arial" w:cs="Arial"/>
          <w:spacing w:val="-1"/>
        </w:rPr>
        <w:t>.</w:t>
      </w:r>
    </w:p>
    <w:p w14:paraId="79B65CCF" w14:textId="17C9716F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El planeamiento </w:t>
      </w:r>
      <w:r w:rsidR="005900ED">
        <w:rPr>
          <w:rFonts w:eastAsia="Arial" w:cs="Arial"/>
          <w:spacing w:val="-1"/>
        </w:rPr>
        <w:t>trimestral</w:t>
      </w:r>
      <w:r>
        <w:rPr>
          <w:rFonts w:eastAsia="Arial" w:cs="Arial"/>
          <w:spacing w:val="-1"/>
        </w:rPr>
        <w:t>: la novela</w:t>
      </w:r>
      <w:r w:rsidR="009808A7">
        <w:rPr>
          <w:rFonts w:eastAsia="Arial" w:cs="Arial"/>
          <w:spacing w:val="-1"/>
        </w:rPr>
        <w:t xml:space="preserve"> (en el segundo trimestre)</w:t>
      </w:r>
      <w:r>
        <w:rPr>
          <w:rFonts w:eastAsia="Arial" w:cs="Arial"/>
          <w:spacing w:val="-1"/>
        </w:rPr>
        <w:t xml:space="preserve">, con el cronograma respectivo </w:t>
      </w:r>
      <w:r w:rsidR="00086B68">
        <w:rPr>
          <w:rFonts w:eastAsia="Arial" w:cs="Arial"/>
          <w:spacing w:val="-1"/>
        </w:rPr>
        <w:t>(que da cuenta de los momentos cuando dará seguimiento en el aula)</w:t>
      </w:r>
      <w:r>
        <w:rPr>
          <w:rFonts w:eastAsia="Arial" w:cs="Arial"/>
          <w:spacing w:val="-1"/>
        </w:rPr>
        <w:t>.</w:t>
      </w:r>
    </w:p>
    <w:p w14:paraId="641379CB" w14:textId="77777777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El planeamiento mensual correspondiente.</w:t>
      </w:r>
    </w:p>
    <w:p w14:paraId="12772189" w14:textId="2604CDB5" w:rsidR="005755A3" w:rsidRDefault="005755A3" w:rsidP="005755A3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El o los planeamientos respectivos </w:t>
      </w:r>
      <w:r w:rsidR="00333A60">
        <w:rPr>
          <w:rFonts w:eastAsia="Arial" w:cs="Arial"/>
          <w:spacing w:val="-1"/>
        </w:rPr>
        <w:t>a los criterios de evaluación transversales para todos los niveles: (séptimo, octavo, noveno, décimo, undécimo y duodécimo)</w:t>
      </w:r>
      <w:r>
        <w:rPr>
          <w:rFonts w:eastAsia="Arial" w:cs="Arial"/>
          <w:spacing w:val="-1"/>
        </w:rPr>
        <w:t>,  según la selección de la persona docente.</w:t>
      </w:r>
    </w:p>
    <w:p w14:paraId="67A2D305" w14:textId="5DF21547" w:rsidR="005755A3" w:rsidRPr="00997D51" w:rsidRDefault="005755A3" w:rsidP="00694549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 w:rsidRPr="00997D51">
        <w:rPr>
          <w:rFonts w:eastAsia="Arial" w:cs="Arial"/>
          <w:spacing w:val="-1"/>
        </w:rPr>
        <w:t xml:space="preserve">El o los planeamientos respectivos a los criterios de evaluación transversales a partir de </w:t>
      </w:r>
      <w:r w:rsidR="00C53A67">
        <w:rPr>
          <w:rFonts w:eastAsia="Arial" w:cs="Arial"/>
          <w:spacing w:val="-1"/>
        </w:rPr>
        <w:t>octavo</w:t>
      </w:r>
      <w:r w:rsidRPr="00997D51">
        <w:rPr>
          <w:rFonts w:eastAsia="Arial" w:cs="Arial"/>
          <w:spacing w:val="-1"/>
        </w:rPr>
        <w:t xml:space="preserve"> y para los niveles siguientes (noveno, décimo, undécimo y duodécimo),  según la selección de la persona docente.</w:t>
      </w:r>
    </w:p>
    <w:p w14:paraId="217BD55F" w14:textId="2DEFF4F6" w:rsidR="00333A60" w:rsidRDefault="00333A60" w:rsidP="00333A60">
      <w:pPr>
        <w:jc w:val="both"/>
        <w:rPr>
          <w:rFonts w:eastAsia="Arial" w:cs="Arial"/>
          <w:b/>
          <w:i/>
          <w:spacing w:val="-1"/>
        </w:rPr>
      </w:pPr>
      <w:r>
        <w:rPr>
          <w:rFonts w:eastAsia="Arial" w:cs="Arial"/>
          <w:b/>
          <w:i/>
          <w:spacing w:val="-1"/>
        </w:rPr>
        <w:t xml:space="preserve">Adquisición </w:t>
      </w:r>
      <w:r w:rsidR="00827336">
        <w:rPr>
          <w:rFonts w:eastAsia="Arial" w:cs="Arial"/>
          <w:b/>
          <w:i/>
          <w:spacing w:val="-1"/>
        </w:rPr>
        <w:t xml:space="preserve">y puesta en práctica </w:t>
      </w:r>
      <w:r>
        <w:rPr>
          <w:rFonts w:eastAsia="Arial" w:cs="Arial"/>
          <w:b/>
          <w:i/>
          <w:spacing w:val="-1"/>
        </w:rPr>
        <w:t xml:space="preserve">de </w:t>
      </w:r>
      <w:r w:rsidR="00827336">
        <w:rPr>
          <w:rFonts w:eastAsia="Arial" w:cs="Arial"/>
          <w:b/>
          <w:i/>
          <w:spacing w:val="-1"/>
        </w:rPr>
        <w:t xml:space="preserve">los </w:t>
      </w:r>
      <w:r>
        <w:rPr>
          <w:rFonts w:eastAsia="Arial" w:cs="Arial"/>
          <w:b/>
          <w:i/>
          <w:spacing w:val="-1"/>
        </w:rPr>
        <w:t>aprendizajes previos respecto de los criterios de evaluación transversales</w:t>
      </w:r>
    </w:p>
    <w:p w14:paraId="378C037F" w14:textId="0661BA80" w:rsidR="002243D0" w:rsidRDefault="00465808" w:rsidP="002243D0">
      <w:pPr>
        <w:jc w:val="both"/>
        <w:rPr>
          <w:rFonts w:eastAsia="Arial" w:cs="Arial"/>
          <w:spacing w:val="-1"/>
        </w:rPr>
      </w:pPr>
      <w:r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AE7A8" wp14:editId="65D18FBB">
                <wp:simplePos x="0" y="0"/>
                <wp:positionH relativeFrom="column">
                  <wp:posOffset>-3810</wp:posOffset>
                </wp:positionH>
                <wp:positionV relativeFrom="paragraph">
                  <wp:posOffset>1221740</wp:posOffset>
                </wp:positionV>
                <wp:extent cx="2628900" cy="2152650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15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E623393" w14:textId="77777777" w:rsidR="00A51050" w:rsidRPr="00BB1FBA" w:rsidRDefault="00A51050" w:rsidP="00557E02">
                            <w:pPr>
                              <w:jc w:val="both"/>
                              <w:rPr>
                                <w:rFonts w:eastAsia="Arial" w:cs="Arial"/>
                                <w:b/>
                                <w:i/>
                                <w:color w:val="1F4E79" w:themeColor="accent1" w:themeShade="80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B1FBA">
                              <w:rPr>
                                <w:rFonts w:eastAsia="Arial" w:cs="Arial"/>
                                <w:b/>
                                <w:i/>
                                <w:color w:val="1F4E79" w:themeColor="accent1" w:themeShade="80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 espera que estas orientaciones sean de ayuda y apoyo en su labor docente.</w:t>
                            </w:r>
                          </w:p>
                          <w:p w14:paraId="1861913B" w14:textId="77777777" w:rsidR="00A51050" w:rsidRPr="00A51050" w:rsidRDefault="00A51050" w:rsidP="00A51050">
                            <w:pPr>
                              <w:pStyle w:val="Prrafodelista"/>
                              <w:spacing w:after="0" w:line="240" w:lineRule="auto"/>
                              <w:jc w:val="both"/>
                              <w:rPr>
                                <w:rFonts w:eastAsia="Arial" w:cs="Arial"/>
                                <w:i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81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AE7A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-.3pt;margin-top:96.2pt;width:207pt;height:16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" filled="f" stroked="f">
                <v:textbox>
                  <w:txbxContent>
                    <w:p w14:paraId="7E623393" w14:textId="77777777" w:rsidR="00A51050" w:rsidRPr="00BB1FBA" w:rsidRDefault="00A51050" w:rsidP="00557E02">
                      <w:pPr>
                        <w:jc w:val="both"/>
                        <w:rPr>
                          <w:rFonts w:eastAsia="Arial" w:cs="Arial"/>
                          <w:b/>
                          <w:i/>
                          <w:color w:val="1F4E79" w:themeColor="accent1" w:themeShade="80"/>
                          <w:sz w:val="48"/>
                          <w:szCs w:val="4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B1FBA">
                        <w:rPr>
                          <w:rFonts w:eastAsia="Arial" w:cs="Arial"/>
                          <w:b/>
                          <w:i/>
                          <w:color w:val="1F4E79" w:themeColor="accent1" w:themeShade="80"/>
                          <w:sz w:val="48"/>
                          <w:szCs w:val="4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Se espera que estas orientaciones sean de ayuda y apoyo en su labor docente.</w:t>
                      </w:r>
                    </w:p>
                    <w:p w14:paraId="1861913B" w14:textId="77777777" w:rsidR="00A51050" w:rsidRPr="00A51050" w:rsidRDefault="00A51050" w:rsidP="00A51050">
                      <w:pPr>
                        <w:pStyle w:val="Prrafodelista"/>
                        <w:spacing w:after="0" w:line="240" w:lineRule="auto"/>
                        <w:jc w:val="both"/>
                        <w:rPr>
                          <w:rFonts w:eastAsia="Arial" w:cs="Arial"/>
                          <w:i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lin w14:ang="81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33A60">
        <w:rPr>
          <w:rFonts w:eastAsia="Arial" w:cs="Arial"/>
          <w:spacing w:val="-1"/>
        </w:rPr>
        <w:t>Tanto en los criterios de evaluación transversales para todos los niveles, como en los criterios de evaluación transversales a partir de séptimo</w:t>
      </w:r>
      <w:r w:rsidR="00BB3151">
        <w:rPr>
          <w:rFonts w:eastAsia="Arial" w:cs="Arial"/>
          <w:spacing w:val="-1"/>
        </w:rPr>
        <w:t xml:space="preserve">, octavo y noveno </w:t>
      </w:r>
      <w:r w:rsidR="00333A60">
        <w:rPr>
          <w:rFonts w:eastAsia="Arial" w:cs="Arial"/>
          <w:spacing w:val="-1"/>
        </w:rPr>
        <w:t xml:space="preserve"> año y para los niveles superiores, se espera que la persona docente seleccione los principios, usos o reglas que sean pertinentes para el estudiantado y el nivel educativo correspondiente (se exceptúan los usos de la puntuación y de la mayúscula, porque ya están definidos en el programa) y, con base en ello, desarrolle un proceso de inducción acerca de la forma como se van a emplear en el proceso de la clase de Español (siempre será cuando el estudiantado se comunica en forma oral o escrita, mediante la elaboración de textos de su propia creatividad o cuando revisa los textos escritos por sus compañeros). </w:t>
      </w:r>
      <w:r w:rsidR="00033D47" w:rsidRPr="00465808">
        <w:rPr>
          <w:rFonts w:eastAsia="Arial" w:cs="Arial"/>
          <w:spacing w:val="-1"/>
        </w:rPr>
        <w:t>El estudiantado, por su parte, debe consultar los recursos, impresos o digitales, sugeridos o proporcionados por la persona docente, para comprender los usos normativos; propone ejemplos y elabora nuevas fichas con los nuevos aprendizajes y las incorpora al fichero que había realizado en séptimo año. En lo sucesivo, este material será de mucha utilidad para consulta cuando así lo requiera durante sus experiencias comunicativas orales y escritas.</w:t>
      </w:r>
      <w:r w:rsidR="002243D0">
        <w:rPr>
          <w:rFonts w:eastAsia="Arial" w:cs="Arial"/>
          <w:spacing w:val="-1"/>
        </w:rPr>
        <w:t xml:space="preserve"> </w:t>
      </w:r>
      <w:bookmarkStart w:id="0" w:name="_GoBack"/>
      <w:r w:rsidR="002243D0">
        <w:rPr>
          <w:rFonts w:eastAsia="Arial" w:cs="Arial"/>
          <w:spacing w:val="-1"/>
        </w:rPr>
        <w:t>E</w:t>
      </w:r>
      <w:r w:rsidR="004379ED">
        <w:rPr>
          <w:rFonts w:eastAsia="Arial" w:cs="Arial"/>
          <w:spacing w:val="-1"/>
        </w:rPr>
        <w:t>s</w:t>
      </w:r>
      <w:r w:rsidR="002243D0">
        <w:rPr>
          <w:rFonts w:eastAsia="Arial" w:cs="Arial"/>
          <w:spacing w:val="-1"/>
        </w:rPr>
        <w:t xml:space="preserve"> de suma relevancia aclarar que la persona docente, </w:t>
      </w:r>
      <w:r w:rsidR="004379ED">
        <w:rPr>
          <w:rFonts w:eastAsia="Arial" w:cs="Arial"/>
          <w:spacing w:val="-1"/>
        </w:rPr>
        <w:t xml:space="preserve">tiene la posibilidad de </w:t>
      </w:r>
      <w:r w:rsidR="002243D0">
        <w:rPr>
          <w:rFonts w:eastAsia="Arial" w:cs="Arial"/>
          <w:spacing w:val="-1"/>
        </w:rPr>
        <w:t xml:space="preserve">valorar los niveles de desempeño en el uso normativo </w:t>
      </w:r>
      <w:r w:rsidR="004379ED">
        <w:rPr>
          <w:rFonts w:eastAsia="Arial" w:cs="Arial"/>
          <w:spacing w:val="-1"/>
        </w:rPr>
        <w:t xml:space="preserve">referido en </w:t>
      </w:r>
      <w:r w:rsidR="002243D0">
        <w:rPr>
          <w:rFonts w:eastAsia="Arial" w:cs="Arial"/>
          <w:spacing w:val="-1"/>
        </w:rPr>
        <w:t xml:space="preserve">los </w:t>
      </w:r>
      <w:r w:rsidR="002243D0">
        <w:rPr>
          <w:rFonts w:eastAsia="Arial" w:cs="Arial"/>
          <w:spacing w:val="-1"/>
        </w:rPr>
        <w:t>criterios de evaluación</w:t>
      </w:r>
      <w:r w:rsidR="002243D0">
        <w:rPr>
          <w:rFonts w:eastAsia="Arial" w:cs="Arial"/>
          <w:spacing w:val="-1"/>
        </w:rPr>
        <w:t xml:space="preserve"> </w:t>
      </w:r>
      <w:r w:rsidR="004379ED">
        <w:rPr>
          <w:rFonts w:eastAsia="Arial" w:cs="Arial"/>
          <w:spacing w:val="-1"/>
        </w:rPr>
        <w:t xml:space="preserve">transversales vistos en séptimo, desde el mes de febrero; en el caso de los </w:t>
      </w:r>
      <w:r w:rsidR="002243D0">
        <w:rPr>
          <w:rFonts w:eastAsia="Arial" w:cs="Arial"/>
          <w:spacing w:val="-1"/>
        </w:rPr>
        <w:t>que se incorporan en octavo</w:t>
      </w:r>
      <w:r w:rsidR="002243D0">
        <w:rPr>
          <w:rFonts w:eastAsia="Arial" w:cs="Arial"/>
          <w:spacing w:val="-1"/>
        </w:rPr>
        <w:t xml:space="preserve">, </w:t>
      </w:r>
      <w:r w:rsidR="004379ED">
        <w:rPr>
          <w:rFonts w:eastAsia="Arial" w:cs="Arial"/>
          <w:spacing w:val="-1"/>
        </w:rPr>
        <w:t xml:space="preserve">puede hacerlo una vez que haya efectuado el </w:t>
      </w:r>
      <w:r w:rsidR="002243D0">
        <w:rPr>
          <w:rFonts w:eastAsia="Arial" w:cs="Arial"/>
          <w:spacing w:val="-1"/>
        </w:rPr>
        <w:t xml:space="preserve">proceso de inducción </w:t>
      </w:r>
      <w:r w:rsidR="004379ED">
        <w:rPr>
          <w:rFonts w:eastAsia="Arial" w:cs="Arial"/>
          <w:spacing w:val="-1"/>
        </w:rPr>
        <w:t>respectivo</w:t>
      </w:r>
      <w:r w:rsidR="002243D0">
        <w:rPr>
          <w:rFonts w:eastAsia="Arial" w:cs="Arial"/>
          <w:spacing w:val="-1"/>
        </w:rPr>
        <w:t xml:space="preserve">. </w:t>
      </w:r>
    </w:p>
    <w:bookmarkEnd w:id="0"/>
    <w:p w14:paraId="594A8CB6" w14:textId="078388F6" w:rsidR="00033D47" w:rsidRPr="00465808" w:rsidRDefault="00033D47" w:rsidP="00E328A0">
      <w:pPr>
        <w:jc w:val="both"/>
        <w:rPr>
          <w:rFonts w:eastAsia="Arial" w:cs="Arial"/>
          <w:spacing w:val="-1"/>
        </w:rPr>
      </w:pPr>
    </w:p>
    <w:p w14:paraId="1C0504BA" w14:textId="77777777" w:rsidR="00033D47" w:rsidRPr="00465808" w:rsidRDefault="00033D47" w:rsidP="00033D47">
      <w:pPr>
        <w:pStyle w:val="Prrafodelista"/>
        <w:spacing w:after="0" w:line="240" w:lineRule="auto"/>
        <w:ind w:left="0"/>
        <w:jc w:val="both"/>
        <w:rPr>
          <w:rFonts w:eastAsia="Arial" w:cs="Arial"/>
          <w:spacing w:val="-1"/>
        </w:rPr>
      </w:pPr>
    </w:p>
    <w:p w14:paraId="5DB3D97F" w14:textId="19909BE9" w:rsidR="003B1046" w:rsidRPr="00C91ED8" w:rsidRDefault="003B1046" w:rsidP="00C91ED8">
      <w:pPr>
        <w:pStyle w:val="Prrafodelista"/>
        <w:spacing w:after="0" w:line="240" w:lineRule="auto"/>
        <w:jc w:val="both"/>
        <w:rPr>
          <w:rFonts w:eastAsia="Arial" w:cs="Arial"/>
          <w:spacing w:val="-1"/>
        </w:rPr>
      </w:pPr>
    </w:p>
    <w:sectPr w:rsidR="003B1046" w:rsidRPr="00C91ED8" w:rsidSect="000A35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B76D5"/>
    <w:multiLevelType w:val="hybridMultilevel"/>
    <w:tmpl w:val="0562EF7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5144F"/>
    <w:multiLevelType w:val="hybridMultilevel"/>
    <w:tmpl w:val="9522E10A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6E5882"/>
    <w:multiLevelType w:val="hybridMultilevel"/>
    <w:tmpl w:val="E9807AFE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14B66"/>
    <w:multiLevelType w:val="hybridMultilevel"/>
    <w:tmpl w:val="E5326B3C"/>
    <w:lvl w:ilvl="0" w:tplc="3AE283D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046"/>
    <w:rsid w:val="00014F72"/>
    <w:rsid w:val="00033D47"/>
    <w:rsid w:val="00061616"/>
    <w:rsid w:val="00086B68"/>
    <w:rsid w:val="000A3588"/>
    <w:rsid w:val="001156BE"/>
    <w:rsid w:val="0012109E"/>
    <w:rsid w:val="0013775A"/>
    <w:rsid w:val="001A7541"/>
    <w:rsid w:val="001F2E20"/>
    <w:rsid w:val="0020056E"/>
    <w:rsid w:val="002243D0"/>
    <w:rsid w:val="00282827"/>
    <w:rsid w:val="00286AAC"/>
    <w:rsid w:val="0029724E"/>
    <w:rsid w:val="002C45BB"/>
    <w:rsid w:val="00321A84"/>
    <w:rsid w:val="00333A60"/>
    <w:rsid w:val="003530EC"/>
    <w:rsid w:val="00386A5B"/>
    <w:rsid w:val="00392D4D"/>
    <w:rsid w:val="003B1046"/>
    <w:rsid w:val="003E7F78"/>
    <w:rsid w:val="003F169E"/>
    <w:rsid w:val="004379ED"/>
    <w:rsid w:val="00456600"/>
    <w:rsid w:val="00465808"/>
    <w:rsid w:val="004A0DB3"/>
    <w:rsid w:val="00527E26"/>
    <w:rsid w:val="00557E02"/>
    <w:rsid w:val="005755A3"/>
    <w:rsid w:val="005900ED"/>
    <w:rsid w:val="005E04A3"/>
    <w:rsid w:val="00630302"/>
    <w:rsid w:val="00631AC9"/>
    <w:rsid w:val="0067571C"/>
    <w:rsid w:val="006D444B"/>
    <w:rsid w:val="006F0955"/>
    <w:rsid w:val="00793965"/>
    <w:rsid w:val="007A3A01"/>
    <w:rsid w:val="007E6F39"/>
    <w:rsid w:val="007F76E2"/>
    <w:rsid w:val="00827336"/>
    <w:rsid w:val="00843F76"/>
    <w:rsid w:val="008635F5"/>
    <w:rsid w:val="008B757B"/>
    <w:rsid w:val="008C71D5"/>
    <w:rsid w:val="008C734B"/>
    <w:rsid w:val="0094151A"/>
    <w:rsid w:val="009808A7"/>
    <w:rsid w:val="00997D51"/>
    <w:rsid w:val="009B1B12"/>
    <w:rsid w:val="00A51050"/>
    <w:rsid w:val="00A66FF3"/>
    <w:rsid w:val="00A77BB1"/>
    <w:rsid w:val="00A94FD6"/>
    <w:rsid w:val="00AC3E60"/>
    <w:rsid w:val="00B13691"/>
    <w:rsid w:val="00B14E3A"/>
    <w:rsid w:val="00B31E9F"/>
    <w:rsid w:val="00BA7415"/>
    <w:rsid w:val="00BB1FBA"/>
    <w:rsid w:val="00BB3151"/>
    <w:rsid w:val="00BD5826"/>
    <w:rsid w:val="00BE0AEC"/>
    <w:rsid w:val="00BF1202"/>
    <w:rsid w:val="00C53A67"/>
    <w:rsid w:val="00C91ED8"/>
    <w:rsid w:val="00CB6ADC"/>
    <w:rsid w:val="00CE738E"/>
    <w:rsid w:val="00D164E4"/>
    <w:rsid w:val="00D50B6F"/>
    <w:rsid w:val="00D7493F"/>
    <w:rsid w:val="00D92DE1"/>
    <w:rsid w:val="00D94932"/>
    <w:rsid w:val="00DC5BE3"/>
    <w:rsid w:val="00E328A0"/>
    <w:rsid w:val="00E56B00"/>
    <w:rsid w:val="00ED0214"/>
    <w:rsid w:val="00F12C7A"/>
    <w:rsid w:val="00F33E63"/>
    <w:rsid w:val="00F73C2A"/>
    <w:rsid w:val="00FB303C"/>
    <w:rsid w:val="00FB6B02"/>
    <w:rsid w:val="00FD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A430"/>
  <w15:docId w15:val="{FA4DD3AE-835B-4D3D-B0EF-88E9F4A8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0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1046"/>
    <w:pPr>
      <w:ind w:left="720"/>
      <w:contextualSpacing/>
    </w:pPr>
  </w:style>
  <w:style w:type="table" w:styleId="Tablaconcuadrcula">
    <w:name w:val="Table Grid"/>
    <w:basedOn w:val="Tablanormal"/>
    <w:uiPriority w:val="39"/>
    <w:rsid w:val="003B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33E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3E63"/>
    <w:pPr>
      <w:spacing w:after="200" w:line="240" w:lineRule="auto"/>
    </w:pPr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3E63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3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3E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798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Maleni Granados Carvajal</dc:creator>
  <cp:lastModifiedBy>Maria Maleni Granados Carvajal</cp:lastModifiedBy>
  <cp:revision>33</cp:revision>
  <cp:lastPrinted>2019-09-05T18:59:00Z</cp:lastPrinted>
  <dcterms:created xsi:type="dcterms:W3CDTF">2019-10-21T13:55:00Z</dcterms:created>
  <dcterms:modified xsi:type="dcterms:W3CDTF">2019-11-26T14:38:00Z</dcterms:modified>
</cp:coreProperties>
</file>