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39723" w14:textId="77777777" w:rsidR="00A575B7" w:rsidRDefault="00A575B7" w:rsidP="00A575B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06F9F727" w14:textId="77777777" w:rsidR="00A575B7" w:rsidRDefault="00A575B7" w:rsidP="00A575B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3E8B5A0D" w:rsidR="00963DA7" w:rsidRPr="008A2832" w:rsidRDefault="00A575B7" w:rsidP="00A575B7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8A2832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8A2832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8A2832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7D64D382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7C0A96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C37FEA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0677F67D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C37FEA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abril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65E286B9" w:rsidR="002E2EE4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8A2832" w14:paraId="58DBAF3B" w14:textId="77777777" w:rsidTr="00D84D18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8A2832" w14:paraId="6095663D" w14:textId="77777777" w:rsidTr="00D84D18">
        <w:trPr>
          <w:trHeight w:val="272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13FFEC7B" w:rsidR="002E2EE4" w:rsidRPr="008A2832" w:rsidRDefault="00921A9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2E2EE4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8A2832" w14:paraId="78F6D4BD" w14:textId="77777777" w:rsidTr="00D84D18">
        <w:trPr>
          <w:trHeight w:val="10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C37FEA" w:rsidRPr="008A2832" w14:paraId="33DB2AFE" w14:textId="77777777" w:rsidTr="00D84D18">
        <w:trPr>
          <w:trHeight w:val="199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9A48310" w14:textId="77777777" w:rsidR="00C37FEA" w:rsidRPr="008A2832" w:rsidRDefault="00C37FEA" w:rsidP="00B77C7C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8A2832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9B89DA" w14:textId="77777777" w:rsidR="00C37FEA" w:rsidRPr="008A2832" w:rsidRDefault="00C37FEA" w:rsidP="00B77C7C">
            <w:pPr>
              <w:pStyle w:val="Sinespaciado"/>
              <w:jc w:val="both"/>
              <w:rPr>
                <w:rFonts w:cs="Arial"/>
              </w:rPr>
            </w:pPr>
            <w:r w:rsidRPr="008A2832">
              <w:rPr>
                <w:rFonts w:cs="Arial"/>
              </w:rPr>
              <w:t>Evalúa los supuestos y los propósitos de los razonamientos que explican los problemas y preguntas vitales.</w:t>
            </w:r>
          </w:p>
          <w:p w14:paraId="2FE308F3" w14:textId="67F2BA50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b/>
              </w:rPr>
              <w:t>(</w:t>
            </w:r>
            <w:r w:rsidR="00C64B86" w:rsidRPr="008A2832">
              <w:rPr>
                <w:rFonts w:asciiTheme="minorHAnsi" w:hAnsiTheme="minorHAnsi" w:cs="Arial"/>
                <w:b/>
              </w:rPr>
              <w:t>r</w:t>
            </w:r>
            <w:r w:rsidRPr="008A2832">
              <w:rPr>
                <w:rFonts w:asciiTheme="minorHAnsi" w:hAnsiTheme="minorHAnsi" w:cs="Arial"/>
                <w:b/>
              </w:rPr>
              <w:t>azonamiento efectivo)</w:t>
            </w:r>
          </w:p>
        </w:tc>
      </w:tr>
      <w:tr w:rsidR="00C64B86" w:rsidRPr="008A2832" w14:paraId="089C69CA" w14:textId="77777777" w:rsidTr="00D84D18">
        <w:trPr>
          <w:trHeight w:val="638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E3E237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286A1460" w14:textId="396E1A6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2E2EE4" w:rsidRPr="008A2832" w14:paraId="3F9BE92B" w14:textId="77777777" w:rsidTr="00D84D18">
        <w:tc>
          <w:tcPr>
            <w:tcW w:w="1198" w:type="pct"/>
            <w:vMerge w:val="restart"/>
            <w:shd w:val="clear" w:color="auto" w:fill="FBE4D5" w:themeFill="accent2" w:themeFillTint="33"/>
          </w:tcPr>
          <w:p w14:paraId="2552A6CD" w14:textId="77777777" w:rsidR="00450777" w:rsidRPr="008A2832" w:rsidRDefault="00450777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7D495304" w:rsidR="002E2EE4" w:rsidRPr="008A2832" w:rsidRDefault="002E2EE4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2E2EE4" w:rsidRPr="008A2832" w14:paraId="53C0D24D" w14:textId="77777777" w:rsidTr="00D84D18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B4CEBD0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FF788F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8A2832" w14:paraId="3FFDDA31" w14:textId="77777777" w:rsidTr="00D84D18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19D060C" w14:textId="53CCF4A3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</w:tc>
      </w:tr>
      <w:tr w:rsidR="00C64B86" w:rsidRPr="008A2832" w14:paraId="2BE8DA03" w14:textId="77777777" w:rsidTr="00D84D18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303A6B1D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5F429E2B" w14:textId="5A1C9C92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de trabajar de forma efectiva con otras personas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para alcanzar un objetivo común, articulando los esfuerzos propios con los de los demás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1F82D962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19BABCC7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C64B86" w:rsidRPr="008A2832" w14:paraId="32CF53D6" w14:textId="77777777" w:rsidTr="00D84D18">
        <w:tc>
          <w:tcPr>
            <w:tcW w:w="1198" w:type="pct"/>
            <w:vMerge/>
            <w:shd w:val="clear" w:color="auto" w:fill="F09456"/>
            <w:vAlign w:val="center"/>
          </w:tcPr>
          <w:p w14:paraId="21C4B2C1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BA5605A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120A5E46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484A269E" w14:textId="77777777" w:rsidR="006D25C5" w:rsidRPr="008A2832" w:rsidRDefault="006D25C5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8A2832" w:rsidRDefault="00553BC0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8A2832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8A2832" w14:paraId="6D3CD1C7" w14:textId="77777777" w:rsidTr="008E1F29">
        <w:tc>
          <w:tcPr>
            <w:tcW w:w="808" w:type="pct"/>
          </w:tcPr>
          <w:p w14:paraId="72ED48E5" w14:textId="1A1B7D93" w:rsidR="00553BC0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553BC0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39F40E3E" w14:textId="77777777" w:rsidTr="00B77C7C">
        <w:tc>
          <w:tcPr>
            <w:tcW w:w="808" w:type="pct"/>
          </w:tcPr>
          <w:p w14:paraId="485C727D" w14:textId="7E266BA2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D84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22FC1DAA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DA0F5D0" w14:textId="7196B752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D84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E03A6CC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302DC38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lastRenderedPageBreak/>
              <w:t xml:space="preserve">Fundamenta su pensamiento con precisión, evidencia enunciados, gráficas y preguntas, entre otros </w:t>
            </w:r>
            <w:r w:rsidRPr="00D84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5FC717E6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3ECBE4C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84D18">
              <w:rPr>
                <w:rFonts w:asciiTheme="minorHAnsi" w:hAnsiTheme="minorHAnsi"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D84D18">
              <w:rPr>
                <w:rFonts w:asciiTheme="minorHAnsi" w:hAnsiTheme="minorHAnsi" w:cs="Arial"/>
                <w:b/>
                <w:color w:val="BF8F00" w:themeColor="accent4" w:themeShade="BF"/>
              </w:rPr>
              <w:t>(razonamiento efectivo).</w:t>
            </w:r>
          </w:p>
          <w:p w14:paraId="209770D1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5C4D7174" w14:textId="34DD15BB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84D18">
              <w:rPr>
                <w:rFonts w:asciiTheme="minorHAnsi" w:hAnsiTheme="minorHAns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D84D18">
              <w:rPr>
                <w:rFonts w:asciiTheme="minorHAnsi" w:hAnsiTheme="minorHAnsi" w:cs="Arial"/>
                <w:b/>
                <w:color w:val="BF8F00" w:themeColor="accent4" w:themeShade="BF"/>
              </w:rPr>
              <w:t>(argumentación).</w:t>
            </w:r>
          </w:p>
          <w:p w14:paraId="444BDEB5" w14:textId="77777777" w:rsidR="00C64B86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C51B3C7" w14:textId="77777777" w:rsidR="005426EB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56AADF6" w14:textId="77777777" w:rsidR="005426EB" w:rsidRPr="008A2832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206551F" w14:textId="0270B448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</w:t>
            </w: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como en sus contenidos (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16617AD3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7FC41E7" w14:textId="2D601416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59EF5D51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6A7C8159" w14:textId="685BD99D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84D18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4E0DB3" w:rsidRPr="00D84D18">
              <w:rPr>
                <w:rFonts w:cs="Arial"/>
                <w:color w:val="BF8F00" w:themeColor="accent4" w:themeShade="BF"/>
              </w:rPr>
              <w:t xml:space="preserve"> </w:t>
            </w:r>
            <w:r w:rsidRPr="00D84D18">
              <w:rPr>
                <w:rFonts w:cs="Arial"/>
                <w:color w:val="BF8F00" w:themeColor="accent4" w:themeShade="BF"/>
              </w:rPr>
              <w:t>(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p</w:t>
            </w:r>
            <w:r w:rsidRPr="00D84D18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67511440" w14:textId="77777777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BC00A82" w14:textId="427B550C" w:rsidR="006B3B1B" w:rsidRPr="00D84D18" w:rsidRDefault="006B3B1B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84D18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4E0DB3" w:rsidRPr="00D84D18">
              <w:rPr>
                <w:rFonts w:cs="Arial"/>
                <w:color w:val="BF8F00" w:themeColor="accent4" w:themeShade="BF"/>
              </w:rPr>
              <w:t xml:space="preserve"> </w:t>
            </w:r>
            <w:r w:rsidRPr="00D84D18">
              <w:rPr>
                <w:rFonts w:cs="Arial"/>
                <w:color w:val="BF8F00" w:themeColor="accent4" w:themeShade="BF"/>
              </w:rPr>
              <w:t>(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p</w:t>
            </w:r>
            <w:r w:rsidRPr="00D84D18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5704DF7C" w14:textId="77777777" w:rsidR="006B3B1B" w:rsidRPr="008A2832" w:rsidRDefault="006B3B1B" w:rsidP="00B77C7C">
            <w:pPr>
              <w:pStyle w:val="Sinespaciado"/>
              <w:jc w:val="center"/>
              <w:rPr>
                <w:rFonts w:cs="Arial"/>
                <w:b/>
                <w:color w:val="FFC000"/>
              </w:rPr>
            </w:pPr>
          </w:p>
          <w:p w14:paraId="21163039" w14:textId="7BDB8956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84D18">
              <w:rPr>
                <w:rFonts w:cs="Arial"/>
                <w:color w:val="833C0B" w:themeColor="accent2" w:themeShade="80"/>
              </w:rPr>
              <w:lastRenderedPageBreak/>
              <w:t>Descifra valores, conocimientos actitudes e intenciones en las diversas formas de comunic</w:t>
            </w:r>
            <w:r w:rsidR="004E0DB3" w:rsidRPr="00D84D18">
              <w:rPr>
                <w:rFonts w:cs="Arial"/>
                <w:color w:val="833C0B" w:themeColor="accent2" w:themeShade="80"/>
              </w:rPr>
              <w:t xml:space="preserve">ación, considerando su contexto </w:t>
            </w:r>
            <w:r w:rsidRPr="00D84D18">
              <w:rPr>
                <w:rFonts w:cs="Arial"/>
                <w:color w:val="833C0B" w:themeColor="accent2" w:themeShade="80"/>
              </w:rPr>
              <w:t>(</w:t>
            </w:r>
            <w:r w:rsidR="004E0DB3" w:rsidRPr="00D84D18">
              <w:rPr>
                <w:rFonts w:cs="Arial"/>
                <w:b/>
                <w:color w:val="833C0B" w:themeColor="accent2" w:themeShade="80"/>
              </w:rPr>
              <w:t>c</w:t>
            </w:r>
            <w:r w:rsidRPr="00D84D18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305B2325" w14:textId="77777777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45650C8A" w14:textId="4D23290C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84D18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</w:t>
            </w:r>
            <w:r w:rsidR="004E0DB3" w:rsidRPr="00D84D18">
              <w:rPr>
                <w:rFonts w:cs="Arial"/>
                <w:color w:val="833C0B" w:themeColor="accent2" w:themeShade="80"/>
              </w:rPr>
              <w:t xml:space="preserve">ación, considerando su contexto </w:t>
            </w:r>
            <w:r w:rsidRPr="00D84D18">
              <w:rPr>
                <w:rFonts w:cs="Arial"/>
                <w:b/>
                <w:color w:val="833C0B" w:themeColor="accent2" w:themeShade="80"/>
              </w:rPr>
              <w:t>(</w:t>
            </w:r>
            <w:r w:rsidR="004E0DB3" w:rsidRPr="00D84D18">
              <w:rPr>
                <w:rFonts w:cs="Arial"/>
                <w:b/>
                <w:color w:val="833C0B" w:themeColor="accent2" w:themeShade="80"/>
              </w:rPr>
              <w:t>c</w:t>
            </w:r>
            <w:r w:rsidRPr="00D84D18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4FCCC244" w14:textId="77777777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09EDDAD" w14:textId="77DA4D5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0CD60249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79AB23FD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3590A190" w14:textId="38809E32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A28A4E6" w14:textId="372696EA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3706CB3" w14:textId="5B06CB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7657F75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Comunicarse oralmente y por escrito, con diferentes interlocutores que representan distintos grados de relación: familiares, amigos, jefaturas, menores, entre otros, de acuerdo con la forma de conjugar el verbo, en los tres tipos de tratamiento voseo, tuteo, ustedeo.</w:t>
            </w:r>
          </w:p>
          <w:p w14:paraId="1BD79468" w14:textId="42030FA9" w:rsidR="00C64B86" w:rsidRPr="008A2832" w:rsidRDefault="00C64B86" w:rsidP="00B77C7C">
            <w:pPr>
              <w:pStyle w:val="Prrafodelista"/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425FF99A" w14:textId="77777777" w:rsidR="00C64B86" w:rsidRPr="008A2832" w:rsidRDefault="00C64B86" w:rsidP="00B77C7C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eastAsia="Times New Roman" w:hAnsiTheme="minorHAnsi" w:cs="Arial"/>
              </w:rPr>
              <w:lastRenderedPageBreak/>
              <w:t>Interpretar una técnica de comunicación oral, de acuerdo con sus características.</w:t>
            </w:r>
          </w:p>
          <w:p w14:paraId="244ABBE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184B183E" w14:textId="4CB7A26A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Identifica elementos </w:t>
            </w:r>
            <w:r w:rsidR="00C21713"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18D4FFB" w14:textId="05423D0F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92D1900" w14:textId="322509D0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3EDB28E" w14:textId="2D22AA11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25E30C5E" w14:textId="1D5C806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0B5F763" w14:textId="5FE044E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9BFB3F3" w14:textId="0A673D6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5AB873D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5374A5C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0E7B5A0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Justifica con evidencias las relaciones encontradas entre los elementos seleccionados del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30DCE15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570B3E6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62FBF0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3D2A753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42F6BE7" w14:textId="5A9D82A2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que encuentra en los elementos presentes en 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67A97391" w14:textId="6AC35F09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1866807" w14:textId="77777777" w:rsidR="005426EB" w:rsidRPr="00D84D18" w:rsidRDefault="005426EB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A4B6046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los elementos presentes en 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2DEDC6A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8B931E0" w14:textId="34B1BA4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1453162" w14:textId="7684376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4EF443" w14:textId="74FD99D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0047FDD" w14:textId="07AA0D5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CE8418" w14:textId="0AAE5D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E371DEA" w14:textId="038387E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8027AD8" w14:textId="422F91F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3BB2D0E" w14:textId="473FD1D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7661AC98" w14:textId="1C2749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43CD1F" w14:textId="0620D75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4F2A7A2" w14:textId="5C15C91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ACF7B80" w14:textId="14C1ADA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53086F5" w14:textId="11B65F4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C725E25" w14:textId="6A9277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FF0DD9F" w14:textId="2672CBD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D01ED77" w14:textId="6DFFAE3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4CB78D5" w14:textId="0CE738C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EBC1AED" w14:textId="4EDBD7A6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D84D18">
              <w:rPr>
                <w:rFonts w:asciiTheme="minorHAnsi" w:hAnsiTheme="minorHAnsi" w:cs="Arial"/>
                <w:color w:val="BF8F00" w:themeColor="accent4" w:themeShade="BF"/>
              </w:rPr>
              <w:t>Compara las formas de tratamiento ustedeo, voseo y tuteo, utilizadas en los diversos medios de comunicación y contextos de su realidad.</w:t>
            </w:r>
          </w:p>
          <w:p w14:paraId="62ECD25F" w14:textId="324F62E6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28A099F3" w14:textId="77777777" w:rsidR="005426EB" w:rsidRPr="00D84D18" w:rsidRDefault="005426E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2A91E9F9" w14:textId="4EA0F651" w:rsidR="00C64B86" w:rsidRPr="00D84D18" w:rsidRDefault="006B3B1B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Detalla la conjugación verbal, de acuerdo con el ustedeo, el voseo y el tuteo, por medio de textos orales y escritos.</w:t>
            </w:r>
          </w:p>
          <w:p w14:paraId="10165B1F" w14:textId="77777777" w:rsidR="006B3B1B" w:rsidRDefault="006B3B1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343EC21D" w14:textId="77777777" w:rsidR="005426EB" w:rsidRDefault="005426E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6161A959" w14:textId="3360164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lastRenderedPageBreak/>
              <w:t>Utiliza las nociones de voseo, tuteo y ustedeo, para enriquecer la expresión y comprensión oral, y escrita.</w:t>
            </w:r>
          </w:p>
          <w:p w14:paraId="0843D22E" w14:textId="2CE2D22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4A4F8CA" w14:textId="17E90FF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3161B25" w14:textId="621C3EE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0A6AD76" w14:textId="45597DE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53EFDE1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AAA9E75" w14:textId="7D458969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6FB571C2" w14:textId="1EDA1FF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109A771" w14:textId="5A6969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91174B4" w14:textId="4DB6DB6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B0CF415" w14:textId="3AFCC3C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DEEECAE" w14:textId="21FA84B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2C2081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E8DFA9E" w14:textId="08BE441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  <w:p w14:paraId="0647BE84" w14:textId="0964875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0A9406A" w14:textId="28190F9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47872C4" w14:textId="7BD7B1A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CC73574" w14:textId="215A584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1F8FA3A" w14:textId="67A44E8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5654126" w14:textId="388119C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BC7ED38" w14:textId="092271C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7D47304" w14:textId="3613D03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Identifica a los miembros que integran el grupo.</w:t>
            </w:r>
          </w:p>
          <w:p w14:paraId="3127FF1D" w14:textId="6672BE4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AFB3D61" w14:textId="736E8E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36DE805" w14:textId="5A6B046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6957FC5" w14:textId="40538EE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09EABDB" w14:textId="4233CC4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30597E" w14:textId="2B59701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2D24DA" w14:textId="5BEB8F8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6EDB05D" w14:textId="1793D1D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CE5772D" w14:textId="2A19C5E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C4D1E6C" w14:textId="15EE336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  <w:p w14:paraId="6216AD02" w14:textId="2F80FEB9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</w:tcPr>
          <w:p w14:paraId="1AF812C0" w14:textId="77777777" w:rsidR="00C64B86" w:rsidRPr="008A2832" w:rsidRDefault="00C64B86" w:rsidP="00B77C7C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6C62C1E1" w14:textId="77777777" w:rsidTr="00553BC0">
        <w:tc>
          <w:tcPr>
            <w:tcW w:w="5000" w:type="pct"/>
            <w:gridSpan w:val="4"/>
          </w:tcPr>
          <w:p w14:paraId="2286CC99" w14:textId="0449944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3CE15A94" w14:textId="77777777" w:rsidR="00C64B86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D4FA522" w14:textId="77777777" w:rsidR="00921A90" w:rsidRPr="00690F42" w:rsidRDefault="00921A90" w:rsidP="00B77C7C">
            <w:p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El planeamiento de este mes requiere:</w:t>
            </w:r>
          </w:p>
          <w:p w14:paraId="6B847F92" w14:textId="1F8E7D27" w:rsidR="00921A90" w:rsidRPr="00690F42" w:rsidRDefault="00921A90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 xml:space="preserve">Análisis crítico de textos </w:t>
            </w:r>
            <w:r w:rsidR="00EA6BD7">
              <w:rPr>
                <w:rFonts w:eastAsia="Times New Roman" w:cs="Arial"/>
              </w:rPr>
              <w:t xml:space="preserve">no </w:t>
            </w:r>
            <w:r w:rsidRPr="00690F42">
              <w:rPr>
                <w:rFonts w:eastAsia="Times New Roman" w:cs="Arial"/>
              </w:rPr>
              <w:t xml:space="preserve">literarios </w:t>
            </w:r>
            <w:r w:rsidR="00EA6BD7">
              <w:rPr>
                <w:rFonts w:eastAsia="Times New Roman" w:cs="Arial"/>
              </w:rPr>
              <w:t>(</w:t>
            </w:r>
            <w:r w:rsidR="00EA6BD7">
              <w:rPr>
                <w:rFonts w:eastAsia="Times New Roman" w:cs="Arial"/>
                <w:u w:val="single"/>
              </w:rPr>
              <w:t>grafiti)</w:t>
            </w:r>
            <w:r w:rsidRPr="00690F42">
              <w:rPr>
                <w:rFonts w:eastAsia="Times New Roman" w:cs="Arial"/>
              </w:rPr>
              <w:t>.</w:t>
            </w:r>
          </w:p>
          <w:p w14:paraId="7E404FFD" w14:textId="77777777" w:rsidR="00EA6BD7" w:rsidRPr="00EA6BD7" w:rsidRDefault="00EA6BD7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eastAsia="Times New Roman" w:cs="Arial"/>
              </w:rPr>
              <w:t xml:space="preserve">Análisis de la temática de formas de tratamiento, </w:t>
            </w:r>
            <w:r>
              <w:rPr>
                <w:rFonts w:asciiTheme="minorHAnsi" w:hAnsiTheme="minorHAnsi" w:cs="Arial"/>
              </w:rPr>
              <w:t>con el fin de que el estudiantado lo aplique al elaborar textos y no solo a reconocer ejemplos en forma aislada.</w:t>
            </w:r>
          </w:p>
          <w:p w14:paraId="01D0626B" w14:textId="0A472FD2" w:rsidR="00EA6BD7" w:rsidRPr="00EA6BD7" w:rsidRDefault="00EA6BD7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 xml:space="preserve">Análisis y aplicación de la técnica de comunicación oral del </w:t>
            </w:r>
            <w:r w:rsidRPr="00EA6BD7">
              <w:rPr>
                <w:rFonts w:asciiTheme="minorHAnsi" w:hAnsiTheme="minorHAnsi" w:cs="Arial"/>
                <w:u w:val="single"/>
              </w:rPr>
              <w:t>fo</w:t>
            </w:r>
            <w:r>
              <w:rPr>
                <w:rFonts w:asciiTheme="minorHAnsi" w:hAnsiTheme="minorHAnsi" w:cs="Arial"/>
                <w:u w:val="single"/>
              </w:rPr>
              <w:t>r</w:t>
            </w:r>
            <w:r w:rsidRPr="00EA6BD7">
              <w:rPr>
                <w:rFonts w:asciiTheme="minorHAnsi" w:hAnsiTheme="minorHAnsi" w:cs="Arial"/>
                <w:u w:val="single"/>
              </w:rPr>
              <w:t>o</w:t>
            </w:r>
            <w:r>
              <w:rPr>
                <w:rFonts w:asciiTheme="minorHAnsi" w:hAnsiTheme="minorHAnsi" w:cs="Arial"/>
              </w:rPr>
              <w:t>.</w:t>
            </w:r>
          </w:p>
          <w:p w14:paraId="14BC2424" w14:textId="10BC00A9" w:rsidR="00921A90" w:rsidRPr="00690F42" w:rsidRDefault="00921A90" w:rsidP="00B77C7C">
            <w:pPr>
              <w:spacing w:after="0" w:line="240" w:lineRule="auto"/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</w:t>
            </w:r>
            <w:r w:rsidR="00EA6BD7">
              <w:t xml:space="preserve">no literario del </w:t>
            </w:r>
            <w:r w:rsidR="00EA6BD7" w:rsidRPr="00EA6BD7">
              <w:rPr>
                <w:u w:val="single"/>
              </w:rPr>
              <w:t>grafiti</w:t>
            </w:r>
            <w:r w:rsidRPr="00690F42">
              <w:t xml:space="preserve"> permita extraer un tópico, con el cual el estudiantado pueda construir el texto propio, en el que practique los </w:t>
            </w:r>
            <w:r w:rsidR="00C5338A">
              <w:t xml:space="preserve">la temática de las formas de tratamiento y, posteriormente, pueda compartir el texto con el grupo, por medio de la técnica de comunicación oral del </w:t>
            </w:r>
            <w:r w:rsidR="00C5338A" w:rsidRPr="00C5338A">
              <w:rPr>
                <w:u w:val="single"/>
              </w:rPr>
              <w:t>foro</w:t>
            </w:r>
            <w:r w:rsidR="00C5338A">
              <w:t>.</w:t>
            </w:r>
          </w:p>
          <w:p w14:paraId="65BBB02E" w14:textId="1FFD32AE" w:rsidR="00921A90" w:rsidRPr="008A2832" w:rsidRDefault="00921A90" w:rsidP="003C3C6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7777777" w:rsidR="002E2EE4" w:rsidRDefault="002E2EE4" w:rsidP="00B77C7C">
      <w:pPr>
        <w:spacing w:after="0" w:line="240" w:lineRule="auto"/>
        <w:jc w:val="both"/>
        <w:rPr>
          <w:rFonts w:asciiTheme="minorHAnsi" w:hAnsiTheme="minorHAnsi" w:cs="Arial"/>
        </w:rPr>
      </w:pPr>
    </w:p>
    <w:p w14:paraId="36DC8245" w14:textId="77777777" w:rsidR="00B77C7C" w:rsidRPr="008A2832" w:rsidRDefault="00B77C7C" w:rsidP="00B77C7C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8A2832" w:rsidRDefault="00F772B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8A2832" w14:paraId="68C0A846" w14:textId="77777777" w:rsidTr="008A2832">
        <w:trPr>
          <w:trHeight w:val="64"/>
        </w:trPr>
        <w:tc>
          <w:tcPr>
            <w:tcW w:w="668" w:type="pct"/>
            <w:vMerge w:val="restart"/>
          </w:tcPr>
          <w:p w14:paraId="52EC5C89" w14:textId="2BDBE532" w:rsidR="00F772B3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Hlk20897094"/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C72F48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8A2832" w14:paraId="2B69ECD2" w14:textId="77777777" w:rsidTr="008A2832">
        <w:tc>
          <w:tcPr>
            <w:tcW w:w="668" w:type="pct"/>
            <w:vMerge/>
          </w:tcPr>
          <w:p w14:paraId="4204828F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8A2832" w14:paraId="44902B55" w14:textId="77777777" w:rsidTr="008A2832">
        <w:tc>
          <w:tcPr>
            <w:tcW w:w="668" w:type="pct"/>
          </w:tcPr>
          <w:p w14:paraId="19AEEED0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14A660C8" w:rsidR="00F772B3" w:rsidRPr="0013790B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</w:t>
            </w:r>
            <w:r w:rsidR="00C2171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del</w:t>
            </w:r>
            <w:r w:rsidR="00F772B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</w:t>
            </w:r>
            <w:r w:rsidR="00F772B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3A39BA74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4B05AA32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14A978E8" w14:textId="750200C7" w:rsidR="00F772B3" w:rsidRPr="008A2832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955DBE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</w:tc>
      </w:tr>
      <w:tr w:rsidR="00F772B3" w:rsidRPr="008A2832" w14:paraId="4826EA06" w14:textId="77777777" w:rsidTr="008A2832">
        <w:tc>
          <w:tcPr>
            <w:tcW w:w="668" w:type="pct"/>
          </w:tcPr>
          <w:p w14:paraId="69DB278E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50403294" w:rsidR="00F772B3" w:rsidRPr="0013790B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75A4F620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4794F401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134FE2CD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8A2832" w14:paraId="2EAB56EE" w14:textId="77777777" w:rsidTr="008A2832">
        <w:trPr>
          <w:trHeight w:val="563"/>
        </w:trPr>
        <w:tc>
          <w:tcPr>
            <w:tcW w:w="668" w:type="pct"/>
          </w:tcPr>
          <w:p w14:paraId="57D5FEF6" w14:textId="77777777" w:rsidR="00274CBC" w:rsidRPr="0013790B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13790B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6094A955" w:rsidR="00274CBC" w:rsidRPr="0013790B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25217262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10A7AC25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en forma oral o escrita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3469DFD0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Argumenta su posición sobre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mediante la exposición de la interrelación entre las evidencias y las relaciones entre los elementos</w:t>
            </w:r>
            <w:r w:rsidR="007C0A96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7C0A96" w:rsidRPr="008A2832" w14:paraId="0B9CC163" w14:textId="77777777" w:rsidTr="008A2832">
        <w:trPr>
          <w:trHeight w:val="563"/>
        </w:trPr>
        <w:tc>
          <w:tcPr>
            <w:tcW w:w="668" w:type="pct"/>
          </w:tcPr>
          <w:p w14:paraId="13AC2C66" w14:textId="3241E8A4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97" w:type="pct"/>
          </w:tcPr>
          <w:p w14:paraId="4F300C76" w14:textId="7DFEDFEC" w:rsidR="007C0A96" w:rsidRPr="0013790B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que encuentra en los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elementos presentes en el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015AE8AE" w14:textId="32A1A33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lastRenderedPageBreak/>
              <w:t xml:space="preserve">Enlista los significados encontrados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base en las cuatro fases (natural, de ubicación, analítica y explicativa e interpretativa).</w:t>
            </w:r>
          </w:p>
        </w:tc>
        <w:tc>
          <w:tcPr>
            <w:tcW w:w="1095" w:type="pct"/>
          </w:tcPr>
          <w:p w14:paraId="179D1E93" w14:textId="181A962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lastRenderedPageBreak/>
              <w:t xml:space="preserve">Elige el sentido relevante dentro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base en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las cuatro fases (natural, de ubicación, analítica y explicativa e interpretativa).</w:t>
            </w:r>
          </w:p>
        </w:tc>
        <w:tc>
          <w:tcPr>
            <w:tcW w:w="1170" w:type="pct"/>
          </w:tcPr>
          <w:p w14:paraId="01AAAC33" w14:textId="1C070D6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Explica el sentido particular que encuentra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en las cuatro fases (natural, de ubicación, analítica y explicativa e interpretativa).</w:t>
            </w:r>
          </w:p>
        </w:tc>
      </w:tr>
      <w:tr w:rsidR="007C0A96" w:rsidRPr="008A2832" w14:paraId="5C0E9C24" w14:textId="77777777" w:rsidTr="008A2832">
        <w:trPr>
          <w:trHeight w:val="563"/>
        </w:trPr>
        <w:tc>
          <w:tcPr>
            <w:tcW w:w="668" w:type="pct"/>
          </w:tcPr>
          <w:p w14:paraId="1A0443FA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Argumentación</w:t>
            </w:r>
          </w:p>
          <w:p w14:paraId="381C4313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2F460420" w14:textId="3F116174" w:rsidR="007C0A96" w:rsidRPr="0013790B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los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elementos presentes en el grafiti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2C18F965" w14:textId="0FF3717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Cita evidencias presentes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, relacionadas con los significados encontrados.</w:t>
            </w:r>
          </w:p>
        </w:tc>
        <w:tc>
          <w:tcPr>
            <w:tcW w:w="1095" w:type="pct"/>
          </w:tcPr>
          <w:p w14:paraId="55247341" w14:textId="20DC367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Señala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 evidencias relacionadas con los significados encontrados.</w:t>
            </w:r>
          </w:p>
        </w:tc>
        <w:tc>
          <w:tcPr>
            <w:tcW w:w="1170" w:type="pct"/>
          </w:tcPr>
          <w:p w14:paraId="72665D1A" w14:textId="25D4416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Describe la correspondencia entre el sentido y las evidencias encontradas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.</w:t>
            </w:r>
          </w:p>
        </w:tc>
      </w:tr>
      <w:tr w:rsidR="007C0A96" w:rsidRPr="008A2832" w14:paraId="397BFCA6" w14:textId="77777777" w:rsidTr="008A2832">
        <w:trPr>
          <w:trHeight w:val="1129"/>
        </w:trPr>
        <w:tc>
          <w:tcPr>
            <w:tcW w:w="668" w:type="pct"/>
          </w:tcPr>
          <w:p w14:paraId="79378696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62332DA3" w14:textId="6C27342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606ABDE0" w14:textId="6508888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en forma general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</w:tcPr>
          <w:p w14:paraId="7A031748" w14:textId="49BAEF45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oralmente, en forma general los requerimientos para la elaboración de un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</w:tcPr>
          <w:p w14:paraId="63A12E59" w14:textId="65F9A39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</w:tr>
      <w:tr w:rsidR="007C0A96" w:rsidRPr="008A2832" w14:paraId="658047F2" w14:textId="77777777" w:rsidTr="008A2832">
        <w:trPr>
          <w:trHeight w:val="963"/>
        </w:trPr>
        <w:tc>
          <w:tcPr>
            <w:tcW w:w="668" w:type="pct"/>
          </w:tcPr>
          <w:p w14:paraId="649850DB" w14:textId="6E3692F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14:paraId="4262D89F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51D174A" w14:textId="13AAF25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28134F52" w14:textId="225F788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principales que servirán de base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  <w:shd w:val="clear" w:color="auto" w:fill="auto"/>
          </w:tcPr>
          <w:p w14:paraId="07D6C3AD" w14:textId="76C1282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aspectos relevantes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  <w:shd w:val="clear" w:color="auto" w:fill="auto"/>
          </w:tcPr>
          <w:p w14:paraId="551D70E1" w14:textId="169B867B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Elabora en forma impresa o digital, un grafiti, a partir de criterios establecidos.</w:t>
            </w:r>
          </w:p>
        </w:tc>
      </w:tr>
      <w:tr w:rsidR="007C0A96" w:rsidRPr="008A2832" w14:paraId="74FA81E7" w14:textId="77777777" w:rsidTr="008A2832">
        <w:trPr>
          <w:trHeight w:val="1739"/>
        </w:trPr>
        <w:tc>
          <w:tcPr>
            <w:tcW w:w="668" w:type="pct"/>
          </w:tcPr>
          <w:p w14:paraId="08BE0982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13790B">
              <w:rPr>
                <w:rFonts w:asciiTheme="minorHAnsi" w:hAnsiTheme="minorHAnsi"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997" w:type="pct"/>
            <w:shd w:val="clear" w:color="auto" w:fill="auto"/>
          </w:tcPr>
          <w:p w14:paraId="1CCE9A58" w14:textId="1F73A1E0" w:rsidR="007C0A96" w:rsidRPr="0013790B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13790B">
              <w:rPr>
                <w:rFonts w:asciiTheme="minorHAnsi" w:hAnsiTheme="minorHAnsi" w:cs="Arial"/>
                <w:color w:val="BF8F00" w:themeColor="accent4" w:themeShade="BF"/>
              </w:rPr>
              <w:t>Compara las formas de tratamiento ustedeo, voseo y tuteo, utilizadas en los diversos medios de comunicación y contextos de su realidad.</w:t>
            </w:r>
          </w:p>
        </w:tc>
        <w:tc>
          <w:tcPr>
            <w:tcW w:w="1070" w:type="pct"/>
            <w:shd w:val="clear" w:color="auto" w:fill="auto"/>
          </w:tcPr>
          <w:p w14:paraId="565CD0E1" w14:textId="3215D3E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Cita las formas de tratamiento ustedeo, voseo y tuteo, utilizadas en los diversos medios de comunicación y contextos de su realidad.</w:t>
            </w:r>
          </w:p>
        </w:tc>
        <w:tc>
          <w:tcPr>
            <w:tcW w:w="1095" w:type="pct"/>
            <w:shd w:val="clear" w:color="auto" w:fill="auto"/>
          </w:tcPr>
          <w:p w14:paraId="6AB22909" w14:textId="0A6F5AB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Encuentra similitudes y diferencias entre las formas de tratamiento ustedeo, voseo y tuteo, utilizadas en los diversos medios de comunicación y contextos de su realidad.</w:t>
            </w:r>
          </w:p>
        </w:tc>
        <w:tc>
          <w:tcPr>
            <w:tcW w:w="1170" w:type="pct"/>
            <w:shd w:val="clear" w:color="auto" w:fill="auto"/>
          </w:tcPr>
          <w:p w14:paraId="4FDD39AD" w14:textId="77777777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Contrasta las formas de tratamiento ustedeo, voseo y tuteo, utilizadas en los diversos medios de comunicación y contextos de su realidad.</w:t>
            </w:r>
          </w:p>
        </w:tc>
      </w:tr>
      <w:tr w:rsidR="00AC3BD1" w:rsidRPr="008A2832" w14:paraId="0EF8B27F" w14:textId="77777777" w:rsidTr="008A2832">
        <w:trPr>
          <w:trHeight w:val="1739"/>
        </w:trPr>
        <w:tc>
          <w:tcPr>
            <w:tcW w:w="668" w:type="pct"/>
          </w:tcPr>
          <w:p w14:paraId="553B9793" w14:textId="487F10E4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13790B">
              <w:rPr>
                <w:rFonts w:asciiTheme="minorHAnsi" w:hAnsiTheme="minorHAnsi" w:cs="Arial"/>
                <w:b/>
                <w:color w:val="BF8F00" w:themeColor="accent4" w:themeShade="BF"/>
              </w:rPr>
              <w:lastRenderedPageBreak/>
              <w:t>Patrones dentro del sistema</w:t>
            </w:r>
          </w:p>
        </w:tc>
        <w:tc>
          <w:tcPr>
            <w:tcW w:w="997" w:type="pct"/>
            <w:shd w:val="clear" w:color="auto" w:fill="auto"/>
          </w:tcPr>
          <w:p w14:paraId="6A32BEB6" w14:textId="1E2245CD" w:rsidR="00AC3BD1" w:rsidRPr="0013790B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Detalla la conjugación verbal, de acuerdo con el ustedeo, el voseo y el tuteo, por medio de textos orales y escritos.</w:t>
            </w:r>
          </w:p>
        </w:tc>
        <w:tc>
          <w:tcPr>
            <w:tcW w:w="1070" w:type="pct"/>
            <w:shd w:val="clear" w:color="auto" w:fill="auto"/>
          </w:tcPr>
          <w:p w14:paraId="23DC8EDC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la forma de conjugación verbal, de acuerdo con el ustedeo, el voseo y el tuteo, encontrada en textos orales y escritos emitidos en los diversos medios de comunicación y contextos de su realidad.</w:t>
            </w:r>
          </w:p>
          <w:p w14:paraId="37CB43E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1095" w:type="pct"/>
            <w:shd w:val="clear" w:color="auto" w:fill="auto"/>
          </w:tcPr>
          <w:p w14:paraId="5F61490A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la forma de conjugación verbal, de acuerdo con el ustedeo, el voseo y el tuteo, encontrada en textos orales y escritos emitidos en los diversos medios de comunicación y contextos de su realidad.</w:t>
            </w:r>
          </w:p>
          <w:p w14:paraId="0BF9C5F3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1170" w:type="pct"/>
            <w:shd w:val="clear" w:color="auto" w:fill="auto"/>
          </w:tcPr>
          <w:p w14:paraId="082BAF82" w14:textId="323BEA89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Puntualiza aspectos significativos de la forma de conjugación verbal, de acuerdo con el ustedeo, el voseo y el tuteo, encontrada en textos orales y escritos emitidos en los diversos medios de comunicación y contextos de su realidad.</w:t>
            </w:r>
          </w:p>
        </w:tc>
      </w:tr>
      <w:tr w:rsidR="00AC3BD1" w:rsidRPr="008A2832" w14:paraId="6522F65E" w14:textId="77777777" w:rsidTr="008A2832">
        <w:trPr>
          <w:trHeight w:val="562"/>
        </w:trPr>
        <w:tc>
          <w:tcPr>
            <w:tcW w:w="668" w:type="pct"/>
          </w:tcPr>
          <w:p w14:paraId="495675E0" w14:textId="77777777" w:rsidR="00AC3BD1" w:rsidRPr="0013790B" w:rsidRDefault="00AC3BD1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bookmarkStart w:id="1" w:name="_GoBack" w:colFirst="0" w:colLast="0"/>
            <w:r w:rsidRPr="0013790B">
              <w:rPr>
                <w:rFonts w:cs="Arial"/>
                <w:b/>
                <w:color w:val="833C0B" w:themeColor="accent2" w:themeShade="80"/>
              </w:rPr>
              <w:t>Comprensión</w:t>
            </w:r>
          </w:p>
          <w:p w14:paraId="14F4EF10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14:paraId="138406B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Utiliza las nociones de voseo, tuteo y ustedeo, para enriquecer la expresión y comprensión oral, y escrita.</w:t>
            </w:r>
          </w:p>
        </w:tc>
        <w:tc>
          <w:tcPr>
            <w:tcW w:w="1070" w:type="pct"/>
            <w:shd w:val="clear" w:color="auto" w:fill="auto"/>
          </w:tcPr>
          <w:p w14:paraId="4B0356E7" w14:textId="60CC22CB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Señala las particularidades de cada forma de tratamiento términos, para enriquecer la expresión y comprensión oral, y escrita.</w:t>
            </w:r>
          </w:p>
        </w:tc>
        <w:tc>
          <w:tcPr>
            <w:tcW w:w="1095" w:type="pct"/>
            <w:shd w:val="clear" w:color="auto" w:fill="auto"/>
          </w:tcPr>
          <w:p w14:paraId="5A29B861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Distingue el contexto en el que debe utilizarse cada forma de tratamiento, para enriquecer la expresión y comprensión oral, y escrita.</w:t>
            </w:r>
          </w:p>
        </w:tc>
        <w:tc>
          <w:tcPr>
            <w:tcW w:w="1170" w:type="pct"/>
            <w:shd w:val="clear" w:color="auto" w:fill="auto"/>
          </w:tcPr>
          <w:p w14:paraId="0D9340A0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8A2832">
              <w:rPr>
                <w:rFonts w:asciiTheme="minorHAnsi" w:hAnsiTheme="minorHAnsi" w:cs="Arial"/>
              </w:rPr>
              <w:t>Emplea con propiedad las nociones de voseo, tuteo y ustedeo, para enriquecer la expresión y comprensión oral, y escrita.</w:t>
            </w:r>
          </w:p>
        </w:tc>
      </w:tr>
      <w:tr w:rsidR="00AC3BD1" w:rsidRPr="008A2832" w14:paraId="56C72E5B" w14:textId="77777777" w:rsidTr="008A2832">
        <w:trPr>
          <w:trHeight w:val="562"/>
        </w:trPr>
        <w:tc>
          <w:tcPr>
            <w:tcW w:w="668" w:type="pct"/>
          </w:tcPr>
          <w:p w14:paraId="09524F7D" w14:textId="77777777" w:rsidR="00AC3BD1" w:rsidRPr="0013790B" w:rsidRDefault="00AC3BD1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13790B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35C031FF" w14:textId="15BB752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14:paraId="294AD755" w14:textId="2E34055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Describe la técnica de comunicación oral: el foro.</w:t>
            </w:r>
          </w:p>
        </w:tc>
        <w:tc>
          <w:tcPr>
            <w:tcW w:w="1095" w:type="pct"/>
            <w:shd w:val="clear" w:color="auto" w:fill="auto"/>
          </w:tcPr>
          <w:p w14:paraId="3733AD99" w14:textId="6E0E990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Enuncia oralmente, en forma general los requerimientos para la puesta en escena de la técnica de comunicación oral del foro.</w:t>
            </w:r>
          </w:p>
        </w:tc>
        <w:tc>
          <w:tcPr>
            <w:tcW w:w="1170" w:type="pct"/>
            <w:shd w:val="clear" w:color="auto" w:fill="auto"/>
          </w:tcPr>
          <w:p w14:paraId="549798A1" w14:textId="781DC5B6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Define los requerimientos para la puesta en escena de la técnica de comunicación oral del foro.</w:t>
            </w:r>
          </w:p>
        </w:tc>
      </w:tr>
      <w:tr w:rsidR="00AC3BD1" w:rsidRPr="008A2832" w14:paraId="18836A44" w14:textId="77777777" w:rsidTr="008A2832">
        <w:trPr>
          <w:trHeight w:val="562"/>
        </w:trPr>
        <w:tc>
          <w:tcPr>
            <w:tcW w:w="668" w:type="pct"/>
          </w:tcPr>
          <w:p w14:paraId="324A390B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13790B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  <w:shd w:val="clear" w:color="auto" w:fill="auto"/>
          </w:tcPr>
          <w:p w14:paraId="647B289F" w14:textId="1CE0F3ED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70" w:type="pct"/>
            <w:shd w:val="clear" w:color="auto" w:fill="auto"/>
          </w:tcPr>
          <w:p w14:paraId="63D23C7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  <w:shd w:val="clear" w:color="auto" w:fill="auto"/>
          </w:tcPr>
          <w:p w14:paraId="13679AB9" w14:textId="4F36FB4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  <w:shd w:val="clear" w:color="auto" w:fill="auto"/>
          </w:tcPr>
          <w:p w14:paraId="08A762BC" w14:textId="6A0985A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AC3BD1" w:rsidRPr="008A2832" w14:paraId="5714E6D6" w14:textId="77777777" w:rsidTr="008A2832">
        <w:tc>
          <w:tcPr>
            <w:tcW w:w="668" w:type="pct"/>
          </w:tcPr>
          <w:p w14:paraId="4CC3A0AA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0BB645BB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07F77FF7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6A9DDE30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4561CDAD" w14:textId="3CF4D0E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</w:tcPr>
          <w:p w14:paraId="541C3173" w14:textId="16FF84F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58A1ED2E" w14:textId="639CB70B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AC3BD1" w:rsidRPr="008A2832" w14:paraId="59923A22" w14:textId="77777777" w:rsidTr="008A2832">
        <w:trPr>
          <w:trHeight w:val="1129"/>
        </w:trPr>
        <w:tc>
          <w:tcPr>
            <w:tcW w:w="668" w:type="pct"/>
          </w:tcPr>
          <w:p w14:paraId="0E270D7F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41AE7077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1D4DFC" w14:textId="19021F7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6B45A4B2" w14:textId="0025BCC5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para </w:t>
            </w:r>
            <w:r w:rsidRPr="008A2832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grupales propuestas.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69CC2CEF" w14:textId="1BC566A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grupales propuestas.</w:t>
            </w:r>
          </w:p>
        </w:tc>
        <w:tc>
          <w:tcPr>
            <w:tcW w:w="1170" w:type="pct"/>
          </w:tcPr>
          <w:p w14:paraId="58E4B8CB" w14:textId="730F2EC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grupales propuestas.</w:t>
            </w:r>
          </w:p>
        </w:tc>
      </w:tr>
      <w:bookmarkEnd w:id="0"/>
      <w:bookmarkEnd w:id="1"/>
    </w:tbl>
    <w:p w14:paraId="0A697240" w14:textId="77777777" w:rsidR="0044009C" w:rsidRPr="008A2832" w:rsidRDefault="0044009C" w:rsidP="00B77C7C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44009C" w:rsidRPr="008A2832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E8D5E" w14:textId="77777777" w:rsidR="00230051" w:rsidRDefault="00230051" w:rsidP="00A30F75">
      <w:pPr>
        <w:spacing w:after="0" w:line="240" w:lineRule="auto"/>
      </w:pPr>
      <w:r>
        <w:separator/>
      </w:r>
    </w:p>
  </w:endnote>
  <w:endnote w:type="continuationSeparator" w:id="0">
    <w:p w14:paraId="2C1B714B" w14:textId="77777777" w:rsidR="00230051" w:rsidRDefault="00230051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DDBC1" w14:textId="77777777" w:rsidR="00230051" w:rsidRDefault="00230051" w:rsidP="00A30F75">
      <w:pPr>
        <w:spacing w:after="0" w:line="240" w:lineRule="auto"/>
      </w:pPr>
      <w:r>
        <w:separator/>
      </w:r>
    </w:p>
  </w:footnote>
  <w:footnote w:type="continuationSeparator" w:id="0">
    <w:p w14:paraId="2F524BC7" w14:textId="77777777" w:rsidR="00230051" w:rsidRDefault="00230051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E1E0E"/>
    <w:rsid w:val="00103A81"/>
    <w:rsid w:val="0010507E"/>
    <w:rsid w:val="00106829"/>
    <w:rsid w:val="00121BAC"/>
    <w:rsid w:val="001255B9"/>
    <w:rsid w:val="0013790B"/>
    <w:rsid w:val="00143B26"/>
    <w:rsid w:val="00144B4E"/>
    <w:rsid w:val="00155114"/>
    <w:rsid w:val="00171C04"/>
    <w:rsid w:val="00176506"/>
    <w:rsid w:val="00177388"/>
    <w:rsid w:val="00177D66"/>
    <w:rsid w:val="0018042B"/>
    <w:rsid w:val="00196FC3"/>
    <w:rsid w:val="0019707A"/>
    <w:rsid w:val="001B317B"/>
    <w:rsid w:val="001C0CE6"/>
    <w:rsid w:val="001C614E"/>
    <w:rsid w:val="00230051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321466"/>
    <w:rsid w:val="0032686E"/>
    <w:rsid w:val="003315D1"/>
    <w:rsid w:val="00347E34"/>
    <w:rsid w:val="00380E2A"/>
    <w:rsid w:val="00390214"/>
    <w:rsid w:val="00393C80"/>
    <w:rsid w:val="003A1FE9"/>
    <w:rsid w:val="003B64FA"/>
    <w:rsid w:val="003C3C67"/>
    <w:rsid w:val="003C663A"/>
    <w:rsid w:val="003D421A"/>
    <w:rsid w:val="0040337C"/>
    <w:rsid w:val="00407752"/>
    <w:rsid w:val="0042243A"/>
    <w:rsid w:val="004271AB"/>
    <w:rsid w:val="0044009C"/>
    <w:rsid w:val="004423D5"/>
    <w:rsid w:val="00445855"/>
    <w:rsid w:val="00450777"/>
    <w:rsid w:val="00481E62"/>
    <w:rsid w:val="004A0C59"/>
    <w:rsid w:val="004B5767"/>
    <w:rsid w:val="004C3585"/>
    <w:rsid w:val="004D796D"/>
    <w:rsid w:val="004E0DB3"/>
    <w:rsid w:val="004E253F"/>
    <w:rsid w:val="004F50C2"/>
    <w:rsid w:val="004F5F24"/>
    <w:rsid w:val="00501642"/>
    <w:rsid w:val="0050395E"/>
    <w:rsid w:val="00510AFA"/>
    <w:rsid w:val="00511233"/>
    <w:rsid w:val="00515A7A"/>
    <w:rsid w:val="0052171D"/>
    <w:rsid w:val="005426EB"/>
    <w:rsid w:val="00553BC0"/>
    <w:rsid w:val="00553CD8"/>
    <w:rsid w:val="005607B8"/>
    <w:rsid w:val="00580F56"/>
    <w:rsid w:val="00586076"/>
    <w:rsid w:val="005B061D"/>
    <w:rsid w:val="005B173D"/>
    <w:rsid w:val="005B1ECC"/>
    <w:rsid w:val="005C58BE"/>
    <w:rsid w:val="005F2214"/>
    <w:rsid w:val="005F52A5"/>
    <w:rsid w:val="006056B4"/>
    <w:rsid w:val="006117F1"/>
    <w:rsid w:val="0063288D"/>
    <w:rsid w:val="006444D2"/>
    <w:rsid w:val="00650126"/>
    <w:rsid w:val="00665648"/>
    <w:rsid w:val="006913B5"/>
    <w:rsid w:val="00693EAE"/>
    <w:rsid w:val="00695439"/>
    <w:rsid w:val="006A0655"/>
    <w:rsid w:val="006B3B1B"/>
    <w:rsid w:val="006B7D8B"/>
    <w:rsid w:val="006D25C5"/>
    <w:rsid w:val="006E4379"/>
    <w:rsid w:val="006F3367"/>
    <w:rsid w:val="006F65FD"/>
    <w:rsid w:val="00701614"/>
    <w:rsid w:val="00706CBE"/>
    <w:rsid w:val="007153FB"/>
    <w:rsid w:val="00725FF2"/>
    <w:rsid w:val="007268FA"/>
    <w:rsid w:val="00740702"/>
    <w:rsid w:val="00747A48"/>
    <w:rsid w:val="00762443"/>
    <w:rsid w:val="0077632C"/>
    <w:rsid w:val="007827C1"/>
    <w:rsid w:val="00784FEB"/>
    <w:rsid w:val="00792DA0"/>
    <w:rsid w:val="007C0A96"/>
    <w:rsid w:val="007D1825"/>
    <w:rsid w:val="007D1A12"/>
    <w:rsid w:val="007D43B6"/>
    <w:rsid w:val="007F06A1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A2832"/>
    <w:rsid w:val="008B39D8"/>
    <w:rsid w:val="008D7CDD"/>
    <w:rsid w:val="008E5435"/>
    <w:rsid w:val="009134BA"/>
    <w:rsid w:val="00920370"/>
    <w:rsid w:val="00921A90"/>
    <w:rsid w:val="00923606"/>
    <w:rsid w:val="009306EE"/>
    <w:rsid w:val="00931D96"/>
    <w:rsid w:val="00933DB5"/>
    <w:rsid w:val="00955DBE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E16F6"/>
    <w:rsid w:val="009E42A7"/>
    <w:rsid w:val="00A22ABC"/>
    <w:rsid w:val="00A30F75"/>
    <w:rsid w:val="00A42B18"/>
    <w:rsid w:val="00A52BFE"/>
    <w:rsid w:val="00A54FD0"/>
    <w:rsid w:val="00A575B7"/>
    <w:rsid w:val="00A6237B"/>
    <w:rsid w:val="00A63E70"/>
    <w:rsid w:val="00A7112B"/>
    <w:rsid w:val="00A8331A"/>
    <w:rsid w:val="00A96EAC"/>
    <w:rsid w:val="00AA10F2"/>
    <w:rsid w:val="00AB51F5"/>
    <w:rsid w:val="00AC3BD1"/>
    <w:rsid w:val="00AE5922"/>
    <w:rsid w:val="00AE6DBC"/>
    <w:rsid w:val="00AF36E8"/>
    <w:rsid w:val="00AF4713"/>
    <w:rsid w:val="00B215E2"/>
    <w:rsid w:val="00B268CE"/>
    <w:rsid w:val="00B2798E"/>
    <w:rsid w:val="00B77C7C"/>
    <w:rsid w:val="00BB0E0A"/>
    <w:rsid w:val="00BB52BA"/>
    <w:rsid w:val="00BC53A3"/>
    <w:rsid w:val="00BD60F2"/>
    <w:rsid w:val="00BF223E"/>
    <w:rsid w:val="00BF59D9"/>
    <w:rsid w:val="00BF6ECE"/>
    <w:rsid w:val="00C17B37"/>
    <w:rsid w:val="00C21713"/>
    <w:rsid w:val="00C310F1"/>
    <w:rsid w:val="00C32398"/>
    <w:rsid w:val="00C37FEA"/>
    <w:rsid w:val="00C41E3A"/>
    <w:rsid w:val="00C5338A"/>
    <w:rsid w:val="00C54AD5"/>
    <w:rsid w:val="00C64B86"/>
    <w:rsid w:val="00C666E4"/>
    <w:rsid w:val="00C72F48"/>
    <w:rsid w:val="00C735C8"/>
    <w:rsid w:val="00CA323C"/>
    <w:rsid w:val="00CB5099"/>
    <w:rsid w:val="00D23323"/>
    <w:rsid w:val="00D522A6"/>
    <w:rsid w:val="00D55E9D"/>
    <w:rsid w:val="00D65F7F"/>
    <w:rsid w:val="00D84D18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26C7A"/>
    <w:rsid w:val="00E347D3"/>
    <w:rsid w:val="00E50377"/>
    <w:rsid w:val="00E50BF7"/>
    <w:rsid w:val="00E74C19"/>
    <w:rsid w:val="00E76867"/>
    <w:rsid w:val="00E84803"/>
    <w:rsid w:val="00E90D67"/>
    <w:rsid w:val="00EA6BD7"/>
    <w:rsid w:val="00EC7092"/>
    <w:rsid w:val="00EE2E09"/>
    <w:rsid w:val="00EF3651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C0185"/>
    <w:rsid w:val="00FC0D2A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rsid w:val="00A96EAC"/>
  </w:style>
  <w:style w:type="table" w:customStyle="1" w:styleId="Tablaconcuadrcula7">
    <w:name w:val="Tabla con cuadrícula7"/>
    <w:basedOn w:val="Tablanormal"/>
    <w:next w:val="Tablaconcuadrcula"/>
    <w:uiPriority w:val="39"/>
    <w:rsid w:val="00AC3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63C21-65E3-4A69-BFBC-D361F95C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2366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19</cp:revision>
  <dcterms:created xsi:type="dcterms:W3CDTF">2019-10-02T14:12:00Z</dcterms:created>
  <dcterms:modified xsi:type="dcterms:W3CDTF">2019-12-13T14:38:00Z</dcterms:modified>
</cp:coreProperties>
</file>