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06300E52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D445FD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duod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5E67866B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</w:t>
      </w:r>
      <w:r w:rsidR="00F1173F" w:rsidRPr="00F1173F">
        <w:rPr>
          <w:rFonts w:eastAsia="Arial" w:cs="Arial"/>
          <w:spacing w:val="-1"/>
        </w:rPr>
        <w:t xml:space="preserve"> (2009)</w:t>
      </w:r>
      <w:r>
        <w:rPr>
          <w:rFonts w:eastAsia="Arial" w:cs="Arial"/>
          <w:spacing w:val="-1"/>
        </w:rPr>
        <w:t xml:space="preserve"> está dirigido hacia el desarrollo de la</w:t>
      </w:r>
      <w:r w:rsidR="00F1173F">
        <w:rPr>
          <w:rFonts w:eastAsia="Arial" w:cs="Arial"/>
          <w:spacing w:val="-1"/>
        </w:rPr>
        <w:t xml:space="preserve">s habilidades de lectura, escucha, expresión oral y expresión escrita, distinguidas en componentes llamados áreas, con una quinta que se identifica como </w:t>
      </w:r>
      <w:r w:rsidR="00F1173F" w:rsidRPr="00F879D4">
        <w:rPr>
          <w:rFonts w:eastAsia="Arial" w:cs="Arial"/>
          <w:i/>
          <w:spacing w:val="-1"/>
        </w:rPr>
        <w:t>Principios elementales del estudio de la lengua y la literatura</w:t>
      </w:r>
      <w:r w:rsidR="00F1173F">
        <w:rPr>
          <w:rFonts w:eastAsia="Arial" w:cs="Arial"/>
          <w:spacing w:val="-1"/>
        </w:rPr>
        <w:t>, la cual fu</w:t>
      </w:r>
      <w:r w:rsidR="000C2922">
        <w:rPr>
          <w:rFonts w:eastAsia="Arial" w:cs="Arial"/>
          <w:spacing w:val="-1"/>
        </w:rPr>
        <w:t>nciona más como un apartado gene</w:t>
      </w:r>
      <w:r w:rsidR="00F1173F">
        <w:rPr>
          <w:rFonts w:eastAsia="Arial" w:cs="Arial"/>
          <w:spacing w:val="-1"/>
        </w:rPr>
        <w:t>r</w:t>
      </w:r>
      <w:r w:rsidR="000C2922">
        <w:rPr>
          <w:rFonts w:eastAsia="Arial" w:cs="Arial"/>
          <w:spacing w:val="-1"/>
        </w:rPr>
        <w:t>al</w:t>
      </w:r>
      <w:r w:rsidR="00F1173F">
        <w:rPr>
          <w:rFonts w:eastAsia="Arial" w:cs="Arial"/>
          <w:spacing w:val="-1"/>
        </w:rPr>
        <w:t xml:space="preserve"> y de introducción a las áreas ya mencionadas.</w:t>
      </w:r>
    </w:p>
    <w:p w14:paraId="7D197744" w14:textId="77777777" w:rsidR="00F1173F" w:rsidRDefault="00F1173F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55017605" w14:textId="2F9908E5" w:rsidR="00F1173F" w:rsidRDefault="00F1173F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A pesar de la separación </w:t>
      </w:r>
      <w:r w:rsidR="006A3F08">
        <w:rPr>
          <w:rFonts w:eastAsia="Arial" w:cs="Arial"/>
          <w:spacing w:val="-1"/>
        </w:rPr>
        <w:t xml:space="preserve">en </w:t>
      </w:r>
      <w:r w:rsidR="00F879D4">
        <w:rPr>
          <w:rFonts w:eastAsia="Arial" w:cs="Arial"/>
          <w:spacing w:val="-1"/>
        </w:rPr>
        <w:t>estas</w:t>
      </w:r>
      <w:r w:rsidR="006A3F08">
        <w:rPr>
          <w:rFonts w:eastAsia="Arial" w:cs="Arial"/>
          <w:spacing w:val="-1"/>
        </w:rPr>
        <w:t xml:space="preserve"> áreas</w:t>
      </w:r>
      <w:r w:rsidR="006A3F08">
        <w:rPr>
          <w:rFonts w:eastAsia="Arial" w:cs="Arial"/>
          <w:spacing w:val="-1"/>
        </w:rPr>
        <w:t xml:space="preserve">, </w:t>
      </w:r>
      <w:r>
        <w:rPr>
          <w:rFonts w:eastAsia="Arial" w:cs="Arial"/>
          <w:spacing w:val="-1"/>
        </w:rPr>
        <w:t>antes mencionada</w:t>
      </w:r>
      <w:r w:rsidR="00F879D4">
        <w:rPr>
          <w:rFonts w:eastAsia="Arial" w:cs="Arial"/>
          <w:spacing w:val="-1"/>
        </w:rPr>
        <w:t>s</w:t>
      </w:r>
      <w:r>
        <w:rPr>
          <w:rFonts w:eastAsia="Arial" w:cs="Arial"/>
          <w:spacing w:val="-1"/>
        </w:rPr>
        <w:t xml:space="preserve">, está claro que la competencia comunicativa en nuestro idioma, no se logra separando las actuaciones del hablante, sino que la </w:t>
      </w:r>
      <w:r w:rsidR="006A3F08">
        <w:rPr>
          <w:rFonts w:eastAsia="Arial" w:cs="Arial"/>
          <w:spacing w:val="-1"/>
        </w:rPr>
        <w:t>mediación</w:t>
      </w:r>
      <w:r>
        <w:rPr>
          <w:rFonts w:eastAsia="Arial" w:cs="Arial"/>
          <w:spacing w:val="-1"/>
        </w:rPr>
        <w:t xml:space="preserve"> debe estar en concordancia con la integración de </w:t>
      </w:r>
      <w:r w:rsidR="006A3F08">
        <w:rPr>
          <w:rFonts w:eastAsia="Arial" w:cs="Arial"/>
          <w:spacing w:val="-1"/>
        </w:rPr>
        <w:t>estas</w:t>
      </w:r>
      <w:r>
        <w:rPr>
          <w:rFonts w:eastAsia="Arial" w:cs="Arial"/>
          <w:spacing w:val="-1"/>
        </w:rPr>
        <w:t>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F44B60" w14:textId="10F7C694" w:rsidR="008F3A6B" w:rsidRDefault="008F3A6B" w:rsidP="006A3F08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Debido a lo anterior</w:t>
      </w:r>
      <w:r w:rsidR="006A3F08">
        <w:rPr>
          <w:rFonts w:eastAsia="Arial" w:cs="Arial"/>
          <w:spacing w:val="-1"/>
        </w:rPr>
        <w:t xml:space="preserve">, en los planeamientos de </w:t>
      </w:r>
      <w:r w:rsidR="00D445FD">
        <w:rPr>
          <w:rFonts w:eastAsia="Arial" w:cs="Arial"/>
          <w:spacing w:val="-1"/>
        </w:rPr>
        <w:t>duodécimo</w:t>
      </w:r>
      <w:r w:rsidR="006A3F08">
        <w:rPr>
          <w:rFonts w:eastAsia="Arial" w:cs="Arial"/>
          <w:spacing w:val="-1"/>
        </w:rPr>
        <w:t xml:space="preserve"> año aquí dispuestos, se presentan, mensualmente, indicadores de objetivos (con su correspondiente habilidad) de lectura, de expresión escrita y de expresión oral y escucha, con el fin de que se medien con estrecha relación. </w:t>
      </w:r>
      <w:r>
        <w:rPr>
          <w:rFonts w:eastAsia="Arial" w:cs="Arial"/>
          <w:spacing w:val="-1"/>
        </w:rPr>
        <w:t>Es decir, tal como se lee en las observaciones de cada uno de los planeamientos</w:t>
      </w:r>
    </w:p>
    <w:p w14:paraId="57D98790" w14:textId="584494B2" w:rsidR="006A3F08" w:rsidRDefault="008F3A6B" w:rsidP="008F3A6B">
      <w:pPr>
        <w:ind w:left="141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“</w:t>
      </w:r>
      <w:r>
        <w:t>…</w:t>
      </w:r>
      <w:r w:rsidRPr="008F3A6B">
        <w:rPr>
          <w:i/>
        </w:rPr>
        <w:t xml:space="preserve">las acciones anteriores </w:t>
      </w:r>
      <w:r w:rsidRPr="008F3A6B">
        <w:rPr>
          <w:i/>
          <w:u w:val="single"/>
        </w:rPr>
        <w:t>no</w:t>
      </w:r>
      <w:r w:rsidRPr="008F3A6B">
        <w:rPr>
          <w:i/>
        </w:rPr>
        <w:t xml:space="preserve"> deben ser aisladas, sino que la lectura crítica del texto literario </w:t>
      </w:r>
      <w:r w:rsidR="00F879D4">
        <w:rPr>
          <w:i/>
        </w:rPr>
        <w:t xml:space="preserve">(o no literario) </w:t>
      </w:r>
      <w:r w:rsidRPr="008F3A6B">
        <w:rPr>
          <w:i/>
        </w:rPr>
        <w:t>permita extraer un tópico, con el cual el estudiantado pueda construir un texto propio, en el que aplique las nociones de</w:t>
      </w:r>
      <w:r w:rsidR="000C2922">
        <w:rPr>
          <w:i/>
        </w:rPr>
        <w:t>… (</w:t>
      </w:r>
      <w:r w:rsidRPr="008F3A6B">
        <w:rPr>
          <w:i/>
        </w:rPr>
        <w:t>gramática</w:t>
      </w:r>
      <w:r w:rsidR="00F879D4">
        <w:rPr>
          <w:i/>
        </w:rPr>
        <w:t>)…</w:t>
      </w:r>
      <w:r w:rsidRPr="008F3A6B">
        <w:rPr>
          <w:i/>
        </w:rPr>
        <w:t xml:space="preserve"> y que, posteriormente, pueda compartir con el grupo por medio de la técnica de expresión oral</w:t>
      </w:r>
      <w:r>
        <w:t>”</w:t>
      </w:r>
      <w:r>
        <w:t>.</w:t>
      </w:r>
    </w:p>
    <w:p w14:paraId="5DB3D97F" w14:textId="0BD7BC27" w:rsidR="003B1046" w:rsidRPr="00C91ED8" w:rsidRDefault="00F879D4" w:rsidP="00F879D4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S</w:t>
      </w:r>
      <w:r w:rsidR="008F3A6B">
        <w:rPr>
          <w:rFonts w:eastAsia="Arial" w:cs="Arial"/>
          <w:spacing w:val="-1"/>
        </w:rPr>
        <w:t xml:space="preserve">e </w:t>
      </w:r>
      <w:r>
        <w:rPr>
          <w:rFonts w:eastAsia="Arial" w:cs="Arial"/>
          <w:spacing w:val="-1"/>
        </w:rPr>
        <w:t>considera</w:t>
      </w:r>
      <w:r w:rsidR="008F3A6B">
        <w:rPr>
          <w:rFonts w:eastAsia="Arial" w:cs="Arial"/>
          <w:spacing w:val="-1"/>
        </w:rPr>
        <w:t xml:space="preserve"> pertinente tener presente que l</w:t>
      </w:r>
      <w:r w:rsidR="00843F76">
        <w:rPr>
          <w:rFonts w:eastAsia="Arial" w:cs="Arial"/>
          <w:spacing w:val="-1"/>
        </w:rPr>
        <w:t xml:space="preserve">os diversos tipos de textos </w:t>
      </w:r>
      <w:r w:rsidR="008F3A6B">
        <w:rPr>
          <w:rFonts w:eastAsia="Arial" w:cs="Arial"/>
          <w:spacing w:val="-1"/>
        </w:rPr>
        <w:t xml:space="preserve">(indicados en la lista </w:t>
      </w:r>
      <w:r>
        <w:rPr>
          <w:rFonts w:eastAsia="Arial" w:cs="Arial"/>
          <w:spacing w:val="-1"/>
        </w:rPr>
        <w:t>oficial</w:t>
      </w:r>
      <w:r w:rsidR="008F3A6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de textos recomendados</w:t>
      </w:r>
      <w:r w:rsidR="008F3A6B">
        <w:rPr>
          <w:rFonts w:eastAsia="Arial" w:cs="Arial"/>
          <w:spacing w:val="-1"/>
        </w:rPr>
        <w:t xml:space="preserve">) se encuentran distribuidos en todos los planeamientos por épocas literarias. </w:t>
      </w:r>
      <w:r>
        <w:rPr>
          <w:rFonts w:eastAsia="Arial" w:cs="Arial"/>
          <w:spacing w:val="-1"/>
        </w:rPr>
        <w:t xml:space="preserve">Distribución similar, pero de acuerdo con su tipo, ocurre con los no literarios. </w:t>
      </w:r>
      <w:r w:rsidR="008F3A6B">
        <w:rPr>
          <w:rFonts w:eastAsia="Arial" w:cs="Arial"/>
          <w:spacing w:val="-1"/>
        </w:rPr>
        <w:t>A estos textos se les suma</w:t>
      </w:r>
      <w:r>
        <w:rPr>
          <w:rFonts w:eastAsia="Arial" w:cs="Arial"/>
          <w:spacing w:val="-1"/>
        </w:rPr>
        <w:t>, mensualmente,</w:t>
      </w:r>
      <w:r w:rsidR="008F3A6B">
        <w:rPr>
          <w:rFonts w:eastAsia="Arial" w:cs="Arial"/>
          <w:spacing w:val="-1"/>
        </w:rPr>
        <w:t xml:space="preserve"> un objetivo relacionado con la </w:t>
      </w:r>
      <w:r>
        <w:rPr>
          <w:rFonts w:eastAsia="Arial" w:cs="Arial"/>
          <w:spacing w:val="-1"/>
        </w:rPr>
        <w:t>gramática</w:t>
      </w:r>
      <w:r w:rsidR="008F3A6B">
        <w:rPr>
          <w:rFonts w:eastAsia="Arial" w:cs="Arial"/>
          <w:spacing w:val="-1"/>
        </w:rPr>
        <w:t xml:space="preserve"> y el objetivo que </w:t>
      </w:r>
      <w:r w:rsidR="000C2922">
        <w:rPr>
          <w:rFonts w:eastAsia="Arial" w:cs="Arial"/>
          <w:spacing w:val="-1"/>
        </w:rPr>
        <w:t>trata</w:t>
      </w:r>
      <w:r w:rsidR="008F3A6B">
        <w:rPr>
          <w:rFonts w:eastAsia="Arial" w:cs="Arial"/>
          <w:spacing w:val="-1"/>
        </w:rPr>
        <w:t xml:space="preserve"> sobre las técnicas de comunicación oral</w:t>
      </w:r>
      <w:r>
        <w:rPr>
          <w:rFonts w:eastAsia="Arial" w:cs="Arial"/>
          <w:spacing w:val="-1"/>
        </w:rPr>
        <w:t>.</w:t>
      </w:r>
      <w:bookmarkStart w:id="0" w:name="_GoBack"/>
      <w:bookmarkEnd w:id="0"/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0C2922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203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A3F08"/>
    <w:rsid w:val="006D444B"/>
    <w:rsid w:val="006F0955"/>
    <w:rsid w:val="006F7EDC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8F3A6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AF11C9"/>
    <w:rsid w:val="00B13691"/>
    <w:rsid w:val="00B14E3A"/>
    <w:rsid w:val="00B221F8"/>
    <w:rsid w:val="00B31E9F"/>
    <w:rsid w:val="00B86213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445FD"/>
    <w:rsid w:val="00D50B6F"/>
    <w:rsid w:val="00D7493F"/>
    <w:rsid w:val="00D92DE1"/>
    <w:rsid w:val="00D94932"/>
    <w:rsid w:val="00DC5BE3"/>
    <w:rsid w:val="00E328A0"/>
    <w:rsid w:val="00E56B00"/>
    <w:rsid w:val="00ED0214"/>
    <w:rsid w:val="00F1173F"/>
    <w:rsid w:val="00F12C7A"/>
    <w:rsid w:val="00F33E63"/>
    <w:rsid w:val="00F73C2A"/>
    <w:rsid w:val="00F879D4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Asesoría Nacional de Español-DTCED</cp:lastModifiedBy>
  <cp:revision>3</cp:revision>
  <cp:lastPrinted>2019-11-06T19:40:00Z</cp:lastPrinted>
  <dcterms:created xsi:type="dcterms:W3CDTF">2019-11-06T19:51:00Z</dcterms:created>
  <dcterms:modified xsi:type="dcterms:W3CDTF">2019-11-06T19:52:00Z</dcterms:modified>
</cp:coreProperties>
</file>