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F5D" w:rsidRDefault="00F34F5D" w:rsidP="00F34F5D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:rsidR="00F34F5D" w:rsidRDefault="00F34F5D" w:rsidP="00F34F5D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 (Programa 2009)</w:t>
      </w:r>
    </w:p>
    <w:p w:rsidR="00F34F5D" w:rsidRDefault="00F34F5D" w:rsidP="00F34F5D">
      <w:pPr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494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4"/>
        <w:gridCol w:w="2960"/>
        <w:gridCol w:w="3934"/>
      </w:tblGrid>
      <w:tr w:rsidR="00671FFF" w:rsidRPr="00C43865" w:rsidTr="00671FFF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C43865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C43865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C43865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671FFF" w:rsidRPr="00C43865" w:rsidTr="00671FFF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C43865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C43865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C43865">
              <w:rPr>
                <w:rFonts w:cs="Arial"/>
                <w:b/>
              </w:rPr>
              <w:t>Asignatura: Español</w:t>
            </w:r>
          </w:p>
        </w:tc>
      </w:tr>
      <w:tr w:rsidR="00671FFF" w:rsidRPr="00C43865" w:rsidTr="00671FFF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C43865">
              <w:rPr>
                <w:rFonts w:eastAsia="Times New Roman" w:cs="Arial"/>
                <w:b/>
                <w:lang w:eastAsia="es-ES"/>
              </w:rPr>
              <w:t>Nivel: undécimo</w:t>
            </w:r>
            <w:r w:rsidR="00B626B4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 w:rsidP="000348E8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C43865">
              <w:rPr>
                <w:rFonts w:eastAsia="Times New Roman" w:cs="Arial"/>
                <w:b/>
                <w:lang w:eastAsia="es-ES"/>
              </w:rPr>
              <w:t xml:space="preserve">Curso lectivo: </w:t>
            </w:r>
            <w:r w:rsidR="000348E8">
              <w:rPr>
                <w:rFonts w:eastAsia="Times New Roman" w:cs="Arial"/>
                <w:b/>
                <w:lang w:eastAsia="es-ES"/>
              </w:rPr>
              <w:t>20__</w:t>
            </w:r>
          </w:p>
        </w:tc>
        <w:tc>
          <w:tcPr>
            <w:tcW w:w="1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 w:rsidP="00CE598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C43865">
              <w:rPr>
                <w:rFonts w:eastAsia="Times New Roman" w:cs="Arial"/>
                <w:b/>
                <w:lang w:eastAsia="es-ES"/>
              </w:rPr>
              <w:t xml:space="preserve">Periodicidad: </w:t>
            </w:r>
            <w:r w:rsidR="00CE598A" w:rsidRPr="00C43865">
              <w:rPr>
                <w:rFonts w:eastAsia="Times New Roman" w:cs="Arial"/>
                <w:b/>
                <w:lang w:eastAsia="es-ES"/>
              </w:rPr>
              <w:t>mensual (octubre)</w:t>
            </w:r>
          </w:p>
        </w:tc>
      </w:tr>
    </w:tbl>
    <w:p w:rsidR="006743AE" w:rsidRPr="00C43865" w:rsidRDefault="006743AE" w:rsidP="006743AE">
      <w:pPr>
        <w:spacing w:after="0"/>
        <w:rPr>
          <w:rFonts w:cs="Arial"/>
          <w:b/>
        </w:rPr>
      </w:pPr>
    </w:p>
    <w:p w:rsidR="00AA3B17" w:rsidRPr="00C43865" w:rsidRDefault="00AA3B17" w:rsidP="00AA3B17">
      <w:pPr>
        <w:spacing w:after="0"/>
        <w:rPr>
          <w:rFonts w:cs="Arial"/>
          <w:b/>
        </w:rPr>
      </w:pPr>
      <w:r w:rsidRPr="00C43865">
        <w:rPr>
          <w:rFonts w:cs="Arial"/>
          <w:b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428"/>
        <w:gridCol w:w="9568"/>
      </w:tblGrid>
      <w:tr w:rsidR="00AA3B17" w:rsidRPr="00C43865" w:rsidTr="00BC6B30">
        <w:tc>
          <w:tcPr>
            <w:tcW w:w="1319" w:type="pct"/>
            <w:shd w:val="clear" w:color="auto" w:fill="FFF2CC" w:themeFill="accent4" w:themeFillTint="33"/>
          </w:tcPr>
          <w:p w:rsidR="00AA3B17" w:rsidRPr="00C43865" w:rsidRDefault="00AA3B17" w:rsidP="009878C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b/>
                <w:sz w:val="22"/>
                <w:szCs w:val="22"/>
              </w:rPr>
              <w:t>Habilidad y definición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AA3B17" w:rsidRPr="00C43865" w:rsidRDefault="00AA3B17" w:rsidP="009878C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b/>
                <w:sz w:val="22"/>
                <w:szCs w:val="22"/>
              </w:rPr>
              <w:t>Pautas para el desarrollo de la habilidad</w:t>
            </w:r>
          </w:p>
        </w:tc>
      </w:tr>
      <w:tr w:rsidR="00AA3B17" w:rsidRPr="00C43865" w:rsidTr="00BC6B30">
        <w:trPr>
          <w:trHeight w:val="454"/>
        </w:trPr>
        <w:tc>
          <w:tcPr>
            <w:tcW w:w="1319" w:type="pct"/>
            <w:vMerge w:val="restar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2F33E6" w:rsidRPr="00C43865" w:rsidRDefault="002F33E6" w:rsidP="009878C7">
            <w:pPr>
              <w:ind w:left="-17"/>
              <w:jc w:val="center"/>
              <w:rPr>
                <w:rFonts w:eastAsia="Times New Roman" w:cs="Arial"/>
                <w:b/>
              </w:rPr>
            </w:pPr>
            <w:r w:rsidRPr="00C43865">
              <w:rPr>
                <w:rFonts w:eastAsia="Times New Roman" w:cs="Arial"/>
                <w:b/>
              </w:rPr>
              <w:t>Pensamiento sistémico</w:t>
            </w:r>
          </w:p>
          <w:p w:rsidR="00AA3B17" w:rsidRPr="00C43865" w:rsidRDefault="00AA3B17" w:rsidP="002F33E6">
            <w:pPr>
              <w:ind w:left="-17"/>
              <w:jc w:val="center"/>
              <w:rPr>
                <w:rFonts w:cs="Arial"/>
              </w:rPr>
            </w:pPr>
            <w:r w:rsidRPr="00C43865">
              <w:rPr>
                <w:rFonts w:cs="Arial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A3B17" w:rsidRPr="00C43865" w:rsidRDefault="00AA3B1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sz w:val="22"/>
                <w:szCs w:val="22"/>
              </w:rPr>
              <w:t>Abstrae los datos, hechos, acciones y objetos como parte de contextos más amplios y complejos (</w:t>
            </w:r>
            <w:r w:rsidR="00086847" w:rsidRPr="00086847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C43865">
              <w:rPr>
                <w:rFonts w:asciiTheme="minorHAnsi" w:hAnsiTheme="minorHAnsi" w:cs="Arial"/>
                <w:b/>
                <w:sz w:val="22"/>
                <w:szCs w:val="22"/>
              </w:rPr>
              <w:t>atrones dentro del sistema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086847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AA3B17" w:rsidRPr="00C43865" w:rsidTr="00BC6B30">
        <w:trPr>
          <w:trHeight w:val="721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A3B17" w:rsidRPr="00C43865" w:rsidRDefault="00AA3B17" w:rsidP="009878C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</w:tcPr>
          <w:p w:rsidR="00AA3B17" w:rsidRPr="00C43865" w:rsidRDefault="00AA3B17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sz w:val="22"/>
                <w:szCs w:val="22"/>
              </w:rPr>
              <w:t>Expone cómo cada objeto, hecho, persona y ser vivo son parte de un sistema dinámico de interrelación e interdependencia en su entorno determinado</w:t>
            </w:r>
            <w:r w:rsidR="0008684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086847" w:rsidRPr="00086847">
              <w:rPr>
                <w:rFonts w:asciiTheme="minorHAnsi" w:hAnsiTheme="minorHAnsi" w:cs="Arial"/>
                <w:b/>
                <w:sz w:val="22"/>
                <w:szCs w:val="22"/>
              </w:rPr>
              <w:t>c</w:t>
            </w:r>
            <w:r w:rsidRPr="00C43865">
              <w:rPr>
                <w:rFonts w:asciiTheme="minorHAnsi" w:hAnsiTheme="minorHAnsi" w:cs="Arial"/>
                <w:b/>
                <w:sz w:val="22"/>
                <w:szCs w:val="22"/>
              </w:rPr>
              <w:t>ausalidad entre los componentes del sistema)</w:t>
            </w:r>
            <w:r w:rsidR="00086847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BC6B30">
        <w:trPr>
          <w:trHeight w:val="454"/>
        </w:trPr>
        <w:tc>
          <w:tcPr>
            <w:tcW w:w="1319" w:type="pct"/>
            <w:vMerge w:val="restar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086847" w:rsidRPr="00C43865" w:rsidRDefault="00086847" w:rsidP="00086847">
            <w:pPr>
              <w:jc w:val="center"/>
              <w:rPr>
                <w:rFonts w:eastAsia="Times New Roman" w:cs="Arial"/>
                <w:b/>
              </w:rPr>
            </w:pPr>
            <w:r w:rsidRPr="00C43865">
              <w:rPr>
                <w:rFonts w:eastAsia="Times New Roman" w:cs="Arial"/>
                <w:b/>
              </w:rPr>
              <w:t>Pensamiento crítico</w:t>
            </w:r>
          </w:p>
          <w:p w:rsidR="00086847" w:rsidRPr="00C43865" w:rsidRDefault="00086847" w:rsidP="00086847">
            <w:pPr>
              <w:jc w:val="center"/>
              <w:rPr>
                <w:rFonts w:cs="Arial"/>
              </w:rPr>
            </w:pPr>
            <w:r w:rsidRPr="00C43865">
              <w:rPr>
                <w:rFonts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(r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B626B4" w:rsidRPr="00C43865" w:rsidTr="00BC6B30">
        <w:trPr>
          <w:trHeight w:val="928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626B4" w:rsidRPr="00C43865" w:rsidRDefault="00B626B4" w:rsidP="0008684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B626B4" w:rsidRPr="00EA2EDB" w:rsidRDefault="00B626B4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</w:t>
            </w:r>
            <w:r>
              <w:rPr>
                <w:rFonts w:asciiTheme="minorHAnsi" w:hAnsiTheme="minorHAnsi" w:cs="Arial"/>
                <w:sz w:val="22"/>
                <w:szCs w:val="22"/>
              </w:rPr>
              <w:t>áficas y preguntas, entre otros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rgumentación)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11113" w:rsidRPr="00C43865" w:rsidTr="00BC6B30">
        <w:trPr>
          <w:trHeight w:val="234"/>
        </w:trPr>
        <w:tc>
          <w:tcPr>
            <w:tcW w:w="1319" w:type="pct"/>
            <w:vMerge w:val="restart"/>
            <w:shd w:val="clear" w:color="auto" w:fill="FFF2CC" w:themeFill="accent4" w:themeFillTint="33"/>
            <w:vAlign w:val="center"/>
          </w:tcPr>
          <w:p w:rsidR="00011113" w:rsidRPr="00011113" w:rsidRDefault="00011113" w:rsidP="00011113">
            <w:pPr>
              <w:jc w:val="center"/>
              <w:rPr>
                <w:rFonts w:eastAsia="Times New Roman" w:cs="Arial"/>
                <w:b/>
              </w:rPr>
            </w:pPr>
            <w:r w:rsidRPr="00011113">
              <w:rPr>
                <w:rFonts w:eastAsia="Times New Roman" w:cs="Arial"/>
                <w:b/>
              </w:rPr>
              <w:t>Aprender a aprender</w:t>
            </w:r>
          </w:p>
          <w:p w:rsidR="00011113" w:rsidRPr="00011113" w:rsidRDefault="00011113" w:rsidP="0001111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11113">
              <w:rPr>
                <w:rFonts w:asciiTheme="minorHAnsi" w:hAnsiTheme="minorHAnsi" w:cs="Arial"/>
                <w:sz w:val="22"/>
                <w:szCs w:val="22"/>
              </w:rPr>
              <w:t>Resolución de problemas capacidad de conocer, organizar y auto-regular el propio proceso de aprendizaje.</w:t>
            </w: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011113" w:rsidRPr="00011113" w:rsidRDefault="00011113" w:rsidP="0001111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11113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</w:t>
            </w:r>
            <w:r w:rsidRPr="00011113">
              <w:rPr>
                <w:rFonts w:asciiTheme="minorHAnsi" w:hAnsiTheme="minorHAnsi" w:cs="Arial"/>
                <w:b/>
                <w:sz w:val="22"/>
                <w:szCs w:val="22"/>
              </w:rPr>
              <w:t xml:space="preserve"> (planificación).</w:t>
            </w:r>
          </w:p>
        </w:tc>
      </w:tr>
      <w:tr w:rsidR="00011113" w:rsidRPr="00C43865" w:rsidTr="00BC6B30">
        <w:trPr>
          <w:trHeight w:val="259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011113" w:rsidRPr="00011113" w:rsidRDefault="00011113" w:rsidP="0001111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011113" w:rsidRPr="00011113" w:rsidRDefault="00011113" w:rsidP="0001111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11113">
              <w:rPr>
                <w:rFonts w:asciiTheme="minorHAnsi" w:hAnsiTheme="minorHAnsi" w:cs="Arial"/>
                <w:sz w:val="22"/>
                <w:szCs w:val="22"/>
              </w:rPr>
              <w:t>Desarrolla autonomía en las tareas que debe realizar para alcanzar los propósitos que se ha propuesto (a</w:t>
            </w:r>
            <w:r w:rsidRPr="00011113">
              <w:rPr>
                <w:rFonts w:asciiTheme="minorHAnsi" w:hAnsiTheme="minorHAnsi" w:cs="Arial"/>
                <w:b/>
                <w:sz w:val="22"/>
                <w:szCs w:val="22"/>
              </w:rPr>
              <w:t>utorregulación).</w:t>
            </w:r>
          </w:p>
        </w:tc>
      </w:tr>
      <w:tr w:rsidR="00086847" w:rsidRPr="00C43865" w:rsidTr="00BC6B30">
        <w:trPr>
          <w:trHeight w:val="701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086847" w:rsidRPr="00C43865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C43865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Comunicación</w:t>
            </w:r>
          </w:p>
          <w:p w:rsidR="00086847" w:rsidRPr="00C43865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43865">
              <w:rPr>
                <w:rFonts w:asciiTheme="minorHAnsi" w:hAnsiTheme="minorHAnsi"/>
                <w:sz w:val="22"/>
                <w:szCs w:val="22"/>
              </w:rPr>
              <w:lastRenderedPageBreak/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A61BD">
              <w:rPr>
                <w:rFonts w:asciiTheme="minorHAnsi" w:hAnsiTheme="minorHAnsi" w:cs="Arial"/>
                <w:sz w:val="22"/>
                <w:szCs w:val="22"/>
              </w:rPr>
              <w:lastRenderedPageBreak/>
              <w:t>Interpreta diferentes tipos de mensajes visuales y orales de complejidad diversa, tanto en su forma como en sus contenidos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(decod</w:t>
            </w:r>
            <w:r w:rsidRPr="003A61BD">
              <w:rPr>
                <w:rFonts w:asciiTheme="minorHAnsi" w:hAnsiTheme="minorHAnsi" w:cs="Arial"/>
                <w:b/>
                <w:sz w:val="22"/>
                <w:szCs w:val="22"/>
              </w:rPr>
              <w:t>ificación)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BC6B30">
        <w:trPr>
          <w:trHeight w:val="664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086847" w:rsidRPr="00C43865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Descifra valores, conocimientos actitudes e intenciones en las diversas formas de comunic</w:t>
            </w:r>
            <w:r>
              <w:rPr>
                <w:rFonts w:asciiTheme="minorHAnsi" w:hAnsiTheme="minorHAnsi" w:cs="Arial"/>
                <w:sz w:val="22"/>
                <w:szCs w:val="22"/>
              </w:rPr>
              <w:t>ación, considerando su contexto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(c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omprensión)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BC6B30">
        <w:trPr>
          <w:trHeight w:val="664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086847" w:rsidRPr="00C43865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Crea, a través del código oral y escrito, diversas obras de expresión con valores estéticos y literarios, resp</w:t>
            </w:r>
            <w:r>
              <w:rPr>
                <w:rFonts w:asciiTheme="minorHAnsi" w:hAnsiTheme="minorHAnsi" w:cs="Arial"/>
                <w:sz w:val="22"/>
                <w:szCs w:val="22"/>
              </w:rPr>
              <w:t>etando los cánones gramaticales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rasmisión efectiva)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BC6B30">
        <w:trPr>
          <w:trHeight w:val="275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382F2D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Colaboración</w:t>
            </w:r>
          </w:p>
          <w:p w:rsidR="00086847" w:rsidRPr="00382F2D" w:rsidRDefault="00086847" w:rsidP="00086847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382F2D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t xml:space="preserve">Habilidad de trabajar de forma efectiva con otras personas para alcanzar un objetivo común, articulando los esfuerzos propios con los de los demás. 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Interactúa de manera asertiva con los demás, considerando las fortalezas y las debilidades de cada quien p</w:t>
            </w:r>
            <w:r>
              <w:rPr>
                <w:rFonts w:asciiTheme="minorHAnsi" w:hAnsiTheme="minorHAnsi" w:cs="Arial"/>
                <w:sz w:val="22"/>
                <w:szCs w:val="22"/>
              </w:rPr>
              <w:t>ara lograr la cohesión de grupo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entido de pertenencia)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BC6B30">
        <w:trPr>
          <w:trHeight w:val="274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086847" w:rsidRPr="00C43865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Negocia con otros para llegar a un acuerdo común, a partir de di</w:t>
            </w:r>
            <w:r>
              <w:rPr>
                <w:rFonts w:asciiTheme="minorHAnsi" w:hAnsiTheme="minorHAnsi" w:cs="Arial"/>
                <w:sz w:val="22"/>
                <w:szCs w:val="22"/>
              </w:rPr>
              <w:t>ferentes criterios o posiciones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BC6B30">
        <w:trPr>
          <w:trHeight w:val="274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086847" w:rsidRPr="00C43865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Proporciona apoyo constante para alcanzar las metas del grupo, de acuerdo con e</w:t>
            </w:r>
            <w:r>
              <w:rPr>
                <w:rFonts w:asciiTheme="minorHAnsi" w:hAnsiTheme="minorHAnsi" w:cs="Arial"/>
                <w:sz w:val="22"/>
                <w:szCs w:val="22"/>
              </w:rPr>
              <w:t>l desarrollo de las actividades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(i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ntegración social)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:rsidR="008E629D" w:rsidRPr="00C43865" w:rsidRDefault="008E629D" w:rsidP="006743AE">
      <w:pPr>
        <w:rPr>
          <w:rFonts w:cs="Arial"/>
          <w:b/>
        </w:rPr>
      </w:pPr>
    </w:p>
    <w:p w:rsidR="006743AE" w:rsidRPr="00C43865" w:rsidRDefault="006743AE" w:rsidP="006743AE">
      <w:pPr>
        <w:rPr>
          <w:rFonts w:cs="Arial"/>
          <w:b/>
        </w:rPr>
      </w:pPr>
      <w:r w:rsidRPr="00C43865">
        <w:rPr>
          <w:rFonts w:cs="Arial"/>
          <w:b/>
        </w:rPr>
        <w:t>Sección II. Aprendizajes esperados, indicadores de los aprendizajes esperados y actividades de mediación.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60"/>
        <w:gridCol w:w="2048"/>
        <w:gridCol w:w="2007"/>
        <w:gridCol w:w="6581"/>
      </w:tblGrid>
      <w:tr w:rsidR="006743AE" w:rsidRPr="00C43865" w:rsidTr="00C43865">
        <w:tc>
          <w:tcPr>
            <w:tcW w:w="1696" w:type="pct"/>
            <w:gridSpan w:val="2"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Aprendizaje esperado</w:t>
            </w:r>
          </w:p>
        </w:tc>
        <w:tc>
          <w:tcPr>
            <w:tcW w:w="772" w:type="pct"/>
            <w:vMerge w:val="restart"/>
            <w:vAlign w:val="center"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Actividades de Mediación</w:t>
            </w:r>
          </w:p>
        </w:tc>
      </w:tr>
      <w:tr w:rsidR="006743AE" w:rsidRPr="00C43865" w:rsidTr="00C43865">
        <w:tc>
          <w:tcPr>
            <w:tcW w:w="908" w:type="pct"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  <w:highlight w:val="yellow"/>
              </w:rPr>
            </w:pPr>
            <w:r w:rsidRPr="00C43865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Objetivo</w:t>
            </w:r>
          </w:p>
        </w:tc>
        <w:tc>
          <w:tcPr>
            <w:tcW w:w="772" w:type="pct"/>
            <w:vMerge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32" w:type="pct"/>
            <w:vMerge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</w:rPr>
            </w:pPr>
          </w:p>
        </w:tc>
      </w:tr>
      <w:tr w:rsidR="00B6740D" w:rsidRPr="00C43865" w:rsidTr="00C43865">
        <w:tc>
          <w:tcPr>
            <w:tcW w:w="908" w:type="pct"/>
            <w:shd w:val="clear" w:color="auto" w:fill="FFFFFF" w:themeFill="background1"/>
          </w:tcPr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Planifica sus estrategias de aprendizaje desde el autoconocimiento y la naturaleza y contexto de las tareas por realizar </w:t>
            </w:r>
            <w:r w:rsidRPr="00BC6B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(planificación).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Planifica sus estrategias de aprendizaje desde el autoconocimiento y la naturaleza y contexto de las tareas por realizar </w:t>
            </w:r>
            <w:r w:rsidRPr="00BC6B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(planificación).</w:t>
            </w:r>
          </w:p>
          <w:p w:rsidR="00901914" w:rsidRPr="00C43865" w:rsidRDefault="00901914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Desarrolla autonomía en las tareas que debe realizar para alcanzar los propósitos que se ha propuesto </w:t>
            </w:r>
            <w:r w:rsidRPr="00BC6B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(autorregulación).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Desarrolla autonomía en las tareas que debe realizar para alcanzar los propósitos que se ha propuesto </w:t>
            </w:r>
            <w:r w:rsidRPr="00BC6B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(autorregulación).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BC6B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BC6B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901914" w:rsidRPr="00C43865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Fundamenta su pensamiento con precisión, evidencia enunciados, gráficas y preguntas, entre otros </w:t>
            </w:r>
            <w:r w:rsidRPr="00BC6B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901914" w:rsidRPr="00BC6B30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BC6B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901914" w:rsidRPr="00C43865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901914" w:rsidRPr="00BC6B30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C6B30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BC6B30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BC6B30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C6B30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BC6B30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901914" w:rsidRPr="00C43865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Descifra valores, conocimientos actitudes e intenciones en las diversas formas de comunicación, considerando su contexto </w:t>
            </w:r>
            <w:r w:rsidRPr="00BC6B30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BC6B30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Interactúa de manera asertiva con los demás, considerando las fortalezas y las debilidades de cada quien para lograr la cohesión de grupo </w:t>
            </w:r>
            <w:r w:rsidRPr="00BC6B30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(sentido de pertenencia).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</w:t>
            </w:r>
            <w:r w:rsidRPr="00BC6B30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posiciones </w:t>
            </w:r>
            <w:r w:rsidRPr="00BC6B30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43865" w:rsidRPr="00BC6B30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43865" w:rsidRPr="00BC6B30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43865" w:rsidRPr="00BC6B30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43865" w:rsidRPr="00BC6B30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43865" w:rsidRPr="00BC6B30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BC6B30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(integración social).</w:t>
            </w:r>
          </w:p>
          <w:p w:rsidR="00901914" w:rsidRPr="00C43865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43865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011113" w:rsidRPr="00C43865" w:rsidRDefault="00011113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Abstrae los datos, hechos, acciones y objetos como parte de contextos más amplios y complejos (</w:t>
            </w:r>
            <w:r w:rsidRPr="00BC6B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patrones dentro del sistema</w:t>
            </w: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Expone cómo cada objeto, hecho, persona y ser vivo son parte de un sistema dinámico de interrelación e interdependencia en su entorno determinado </w:t>
            </w:r>
            <w:r w:rsidRPr="00BC6B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(causalidad entre los componentes del sistema).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BC6B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BC6B3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9019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43865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43865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43865" w:rsidRPr="00C43865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B626B4" w:rsidRPr="00BC6B30" w:rsidRDefault="00B626B4" w:rsidP="00B626B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BC6B30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Pr="00BC6B30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</w:t>
            </w:r>
            <w:r w:rsidRPr="00BC6B30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omprensión).</w:t>
            </w:r>
          </w:p>
          <w:p w:rsidR="00B626B4" w:rsidRDefault="00B626B4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Descifra valores, conocimientos actitudes e intenciones en las diversas formas de comunicación, considerando su contexto </w:t>
            </w:r>
            <w:r w:rsidRPr="00BC6B30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Pr="00BC6B30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</w:t>
            </w:r>
            <w:r w:rsidRPr="00BC6B30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omprensión).</w:t>
            </w:r>
          </w:p>
          <w:p w:rsidR="00901914" w:rsidRPr="00BC6B30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B6740D" w:rsidRPr="00C43865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BC6B30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Crea, a través del código oral y escrito, diversas obras de expresión con valores estéticos y literarios, respetando los cánones gramaticales </w:t>
            </w:r>
            <w:r w:rsidRPr="00BC6B30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(trasmisión efectiva).</w:t>
            </w:r>
          </w:p>
        </w:tc>
        <w:tc>
          <w:tcPr>
            <w:tcW w:w="788" w:type="pct"/>
          </w:tcPr>
          <w:p w:rsidR="000E0CC5" w:rsidRPr="00B626B4" w:rsidRDefault="000E0CC5" w:rsidP="00CE598A">
            <w:pPr>
              <w:jc w:val="both"/>
              <w:rPr>
                <w:rFonts w:cs="Arial"/>
              </w:rPr>
            </w:pPr>
            <w:r w:rsidRPr="00B626B4">
              <w:rPr>
                <w:rFonts w:cs="Arial"/>
              </w:rPr>
              <w:lastRenderedPageBreak/>
              <w:t>Analizar textos no literarios, mediante la aplicación de los diversos niveles de comprensión lectora.</w:t>
            </w:r>
          </w:p>
          <w:p w:rsidR="000E0CC5" w:rsidRPr="00B626B4" w:rsidRDefault="000E0CC5" w:rsidP="00CE598A">
            <w:pPr>
              <w:jc w:val="both"/>
              <w:rPr>
                <w:rFonts w:cs="Arial"/>
                <w:strike/>
              </w:rPr>
            </w:pPr>
          </w:p>
          <w:p w:rsidR="009C76D9" w:rsidRPr="00B626B4" w:rsidRDefault="009C76D9" w:rsidP="009C76D9">
            <w:pPr>
              <w:jc w:val="both"/>
              <w:rPr>
                <w:rFonts w:cs="Arial"/>
              </w:rPr>
            </w:pPr>
            <w:r w:rsidRPr="00B626B4">
              <w:rPr>
                <w:rFonts w:cs="Arial"/>
              </w:rPr>
              <w:t>Reconocer variedades geográficas, sociales y estilísticas de la lengua española.</w:t>
            </w:r>
          </w:p>
          <w:p w:rsidR="009C76D9" w:rsidRPr="00B626B4" w:rsidRDefault="009C76D9" w:rsidP="009C76D9">
            <w:pPr>
              <w:jc w:val="both"/>
              <w:rPr>
                <w:rFonts w:cs="Arial"/>
              </w:rPr>
            </w:pPr>
          </w:p>
          <w:p w:rsidR="009C76D9" w:rsidRPr="00B626B4" w:rsidRDefault="009C76D9" w:rsidP="009C76D9">
            <w:pPr>
              <w:jc w:val="both"/>
              <w:rPr>
                <w:rFonts w:cs="Arial"/>
              </w:rPr>
            </w:pPr>
            <w:r w:rsidRPr="00B626B4">
              <w:rPr>
                <w:rFonts w:cs="Arial"/>
              </w:rPr>
              <w:lastRenderedPageBreak/>
              <w:t>Analizar algunos fenómenos lingüísticos que corresponden a variedades del español de América y de Costa Rica.</w:t>
            </w:r>
          </w:p>
          <w:p w:rsidR="00B626B4" w:rsidRPr="00B626B4" w:rsidRDefault="00B626B4" w:rsidP="00CE598A">
            <w:pPr>
              <w:contextualSpacing/>
              <w:jc w:val="both"/>
              <w:rPr>
                <w:rFonts w:cs="Arial"/>
              </w:rPr>
            </w:pPr>
          </w:p>
          <w:p w:rsidR="00D446EE" w:rsidRPr="00B626B4" w:rsidRDefault="00B626B4" w:rsidP="00CE598A">
            <w:pPr>
              <w:contextualSpacing/>
              <w:jc w:val="both"/>
              <w:rPr>
                <w:rFonts w:cs="Arial"/>
              </w:rPr>
            </w:pPr>
            <w:r w:rsidRPr="00B626B4">
              <w:rPr>
                <w:rFonts w:cs="Arial"/>
              </w:rPr>
              <w:t>Emplear vocabulario variado con precisión y propiedad, mediante la utilización del diccionario como instrumento para el enriquecimiento léxico, semántico y ortográfico.</w:t>
            </w:r>
          </w:p>
          <w:p w:rsidR="00B626B4" w:rsidRPr="00B626B4" w:rsidRDefault="00B626B4" w:rsidP="00CE598A">
            <w:pPr>
              <w:contextualSpacing/>
              <w:jc w:val="both"/>
              <w:rPr>
                <w:rFonts w:cs="Arial"/>
              </w:rPr>
            </w:pPr>
          </w:p>
          <w:p w:rsidR="00B6740D" w:rsidRPr="00C43865" w:rsidRDefault="00B6740D" w:rsidP="00CE598A">
            <w:pPr>
              <w:jc w:val="both"/>
              <w:rPr>
                <w:rFonts w:cs="Arial"/>
              </w:rPr>
            </w:pPr>
            <w:r w:rsidRPr="00B626B4">
              <w:rPr>
                <w:rFonts w:cs="Arial"/>
              </w:rPr>
              <w:t>Aplicar variedad de técnicas en actividades de expresión oral que mejoren la comunicación.</w:t>
            </w:r>
          </w:p>
        </w:tc>
        <w:tc>
          <w:tcPr>
            <w:tcW w:w="772" w:type="pct"/>
            <w:shd w:val="clear" w:color="auto" w:fill="FFFFFF" w:themeFill="background1"/>
          </w:tcPr>
          <w:p w:rsidR="00901914" w:rsidRPr="00BC6B30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BC6B30">
              <w:rPr>
                <w:rFonts w:cs="Arial"/>
                <w:color w:val="BF8F00" w:themeColor="accent4" w:themeShade="BF"/>
              </w:rPr>
              <w:lastRenderedPageBreak/>
              <w:t xml:space="preserve">Selecciona los elementos que pueden utilizarse para analizar un </w:t>
            </w:r>
            <w:r w:rsidRPr="00BC6B30">
              <w:rPr>
                <w:rFonts w:cs="Arial"/>
                <w:color w:val="BF8F00" w:themeColor="accent4" w:themeShade="BF"/>
                <w:u w:val="single"/>
              </w:rPr>
              <w:t>texto cinematográfico</w:t>
            </w:r>
            <w:r w:rsidRPr="00BC6B30">
              <w:rPr>
                <w:rFonts w:cs="Arial"/>
                <w:color w:val="BF8F00" w:themeColor="accent4" w:themeShade="BF"/>
              </w:rPr>
              <w:t>.</w:t>
            </w:r>
          </w:p>
          <w:p w:rsidR="00901914" w:rsidRPr="00BC6B30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BC6B30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BC6B30">
              <w:rPr>
                <w:rFonts w:cs="Arial"/>
                <w:color w:val="BF8F00" w:themeColor="accent4" w:themeShade="BF"/>
              </w:rPr>
              <w:t xml:space="preserve">Selecciona los elementos que pueden utilizarse para analizar un </w:t>
            </w:r>
            <w:r w:rsidRPr="00BC6B30">
              <w:rPr>
                <w:rFonts w:cs="Arial"/>
                <w:color w:val="BF8F00" w:themeColor="accent4" w:themeShade="BF"/>
                <w:u w:val="single"/>
              </w:rPr>
              <w:t>grafiti</w:t>
            </w:r>
            <w:r w:rsidRPr="00BC6B30">
              <w:rPr>
                <w:rFonts w:cs="Arial"/>
                <w:color w:val="BF8F00" w:themeColor="accent4" w:themeShade="BF"/>
              </w:rPr>
              <w:t>.</w:t>
            </w:r>
          </w:p>
          <w:p w:rsidR="00901914" w:rsidRPr="00C43865" w:rsidRDefault="00901914" w:rsidP="009019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3D024D" w:rsidRDefault="003D024D" w:rsidP="009019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901914" w:rsidRPr="00BC6B30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BC6B30">
              <w:rPr>
                <w:rFonts w:cs="Arial"/>
                <w:color w:val="BF8F00" w:themeColor="accent4" w:themeShade="BF"/>
              </w:rPr>
              <w:t xml:space="preserve">Pone en práctica los elementos pertinentes en un </w:t>
            </w:r>
            <w:r w:rsidRPr="00BC6B30">
              <w:rPr>
                <w:rFonts w:cs="Arial"/>
                <w:color w:val="BF8F00" w:themeColor="accent4" w:themeShade="BF"/>
                <w:u w:val="single"/>
              </w:rPr>
              <w:t>texto cinematográfico</w:t>
            </w:r>
            <w:r w:rsidRPr="00BC6B30">
              <w:rPr>
                <w:rFonts w:cs="Arial"/>
                <w:color w:val="BF8F00" w:themeColor="accent4" w:themeShade="BF"/>
              </w:rPr>
              <w:t>.</w:t>
            </w:r>
          </w:p>
          <w:p w:rsidR="00901914" w:rsidRPr="00BC6B30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BC6B30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BC6B30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BC6B30">
              <w:rPr>
                <w:rFonts w:cs="Arial"/>
                <w:color w:val="BF8F00" w:themeColor="accent4" w:themeShade="BF"/>
              </w:rPr>
              <w:t xml:space="preserve">Pone en práctica los elementos pertinentes en un </w:t>
            </w:r>
            <w:r w:rsidRPr="00BC6B30">
              <w:rPr>
                <w:rFonts w:cs="Arial"/>
                <w:color w:val="BF8F00" w:themeColor="accent4" w:themeShade="BF"/>
                <w:u w:val="single"/>
              </w:rPr>
              <w:t>grafiti</w:t>
            </w:r>
            <w:r w:rsidRPr="00BC6B30">
              <w:rPr>
                <w:rFonts w:cs="Arial"/>
                <w:color w:val="BF8F00" w:themeColor="accent4" w:themeShade="BF"/>
              </w:rPr>
              <w:t>.</w:t>
            </w:r>
          </w:p>
          <w:p w:rsidR="00901914" w:rsidRPr="00BC6B30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BC6B30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BC6B30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BC6B30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texto cinematográfico</w:t>
            </w: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.</w:t>
            </w:r>
          </w:p>
          <w:p w:rsidR="00901914" w:rsidRPr="00BC6B30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grafiti</w:t>
            </w: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901914" w:rsidRPr="00BC6B30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 xml:space="preserve">Explica su interpretación del </w:t>
            </w:r>
            <w:r w:rsidRPr="00BC6B3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texto cinematográfico</w:t>
            </w: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901914" w:rsidRPr="00BC6B30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901914" w:rsidRPr="00BC6B30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grafiti</w:t>
            </w:r>
            <w:r w:rsidRPr="00BC6B30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texto cinematográfico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analizado, tomando como base los niveles de comprensión lectora.</w:t>
            </w:r>
          </w:p>
          <w:p w:rsidR="00C43865" w:rsidRPr="00C43865" w:rsidRDefault="00C43865" w:rsidP="009019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grafiti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analizado, tomando como base los niveles de comprensión lectora.</w:t>
            </w:r>
          </w:p>
          <w:p w:rsidR="00C43865" w:rsidRPr="00C43865" w:rsidRDefault="00C4386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43865" w:rsidRPr="00C43865" w:rsidRDefault="00C43865" w:rsidP="009019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 xml:space="preserve">Utiliza las conclusiones, producto del análisis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texto cinematográfico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  <w:p w:rsidR="00C43865" w:rsidRPr="00C43865" w:rsidRDefault="00C4386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grafiti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  <w:p w:rsidR="00C43865" w:rsidRPr="00C43865" w:rsidRDefault="00C4386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43865" w:rsidRPr="00C43865" w:rsidRDefault="00C4386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01914" w:rsidRPr="00C43865" w:rsidRDefault="00901914" w:rsidP="00901914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C43865">
              <w:rPr>
                <w:rFonts w:cs="Arial"/>
                <w:color w:val="C45911" w:themeColor="accent2" w:themeShade="BF"/>
                <w:u w:val="single"/>
              </w:rPr>
              <w:t>texto cinematográfico</w:t>
            </w:r>
            <w:r w:rsidRPr="00C43865">
              <w:rPr>
                <w:rFonts w:cs="Arial"/>
                <w:color w:val="C45911" w:themeColor="accent2" w:themeShade="BF"/>
              </w:rPr>
              <w:t xml:space="preserve"> 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y del grafiti.</w:t>
            </w:r>
          </w:p>
          <w:p w:rsidR="00C43865" w:rsidRPr="00C43865" w:rsidRDefault="00C43865" w:rsidP="009019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901914" w:rsidRPr="00C43865" w:rsidRDefault="00901914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Llega a puntos de encuentro o a acuerdos con el grupo de trabajo, </w:t>
            </w:r>
            <w:r w:rsidRPr="00C43865">
              <w:rPr>
                <w:rFonts w:cs="Arial"/>
                <w:color w:val="C45911" w:themeColor="accent2" w:themeShade="BF"/>
              </w:rPr>
              <w:lastRenderedPageBreak/>
              <w:t xml:space="preserve">acerca de las interpretaciones propias y de sus compañeros, sobre el </w:t>
            </w:r>
            <w:r w:rsidRPr="00C43865">
              <w:rPr>
                <w:rFonts w:cs="Arial"/>
                <w:color w:val="C45911" w:themeColor="accent2" w:themeShade="BF"/>
                <w:u w:val="single"/>
              </w:rPr>
              <w:t>texto cinematográfico</w:t>
            </w:r>
            <w:r w:rsidRPr="00C43865">
              <w:rPr>
                <w:rFonts w:cs="Arial"/>
                <w:color w:val="C45911" w:themeColor="accent2" w:themeShade="BF"/>
              </w:rPr>
              <w:t xml:space="preserve"> 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y del grafiti</w:t>
            </w:r>
          </w:p>
          <w:p w:rsidR="00901914" w:rsidRPr="00C43865" w:rsidRDefault="00901914" w:rsidP="00901914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C43865">
              <w:rPr>
                <w:rFonts w:cs="Arial"/>
                <w:color w:val="C45911" w:themeColor="accent2" w:themeShade="BF"/>
                <w:u w:val="single"/>
              </w:rPr>
              <w:t>texto cinematográfico</w:t>
            </w:r>
            <w:r w:rsidRPr="00C43865">
              <w:rPr>
                <w:rFonts w:cs="Arial"/>
                <w:color w:val="C45911" w:themeColor="accent2" w:themeShade="BF"/>
              </w:rPr>
              <w:t xml:space="preserve"> 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y del grafiti</w:t>
            </w:r>
          </w:p>
          <w:p w:rsidR="00901914" w:rsidRPr="00BC6B30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BC6B30">
              <w:rPr>
                <w:rFonts w:cs="Arial"/>
                <w:color w:val="BF8F00" w:themeColor="accent4" w:themeShade="BF"/>
              </w:rPr>
              <w:t>Compara las características de las variedades de la lengua española.</w:t>
            </w:r>
          </w:p>
          <w:p w:rsidR="00C43865" w:rsidRPr="00BC6B30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43865" w:rsidRPr="00BC6B30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43865" w:rsidRPr="00BC6B30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BC6B30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BC6B30">
              <w:rPr>
                <w:rFonts w:cs="Arial"/>
                <w:color w:val="BF8F00" w:themeColor="accent4" w:themeShade="BF"/>
              </w:rPr>
              <w:t>Complementa la información de las variedades de la lengua española, con ejemplos de diversos textos.</w:t>
            </w:r>
          </w:p>
          <w:p w:rsidR="00C43865" w:rsidRDefault="00C43865" w:rsidP="00901914">
            <w:pPr>
              <w:jc w:val="both"/>
              <w:rPr>
                <w:rFonts w:cs="Arial"/>
                <w:color w:val="FFC000"/>
              </w:rPr>
            </w:pPr>
          </w:p>
          <w:p w:rsidR="00C43865" w:rsidRDefault="00C43865" w:rsidP="00901914">
            <w:pPr>
              <w:jc w:val="both"/>
              <w:rPr>
                <w:rFonts w:cs="Arial"/>
                <w:color w:val="FFC000"/>
              </w:rPr>
            </w:pPr>
          </w:p>
          <w:p w:rsidR="00C43865" w:rsidRDefault="00C43865" w:rsidP="00901914">
            <w:pPr>
              <w:jc w:val="both"/>
              <w:rPr>
                <w:rFonts w:cs="Arial"/>
                <w:color w:val="FFC000"/>
              </w:rPr>
            </w:pPr>
          </w:p>
          <w:p w:rsidR="00C43865" w:rsidRDefault="00C43865" w:rsidP="00901914">
            <w:pPr>
              <w:jc w:val="both"/>
              <w:rPr>
                <w:rFonts w:cs="Arial"/>
                <w:color w:val="FFC000"/>
              </w:rPr>
            </w:pPr>
          </w:p>
          <w:p w:rsidR="00C43865" w:rsidRPr="00C43865" w:rsidRDefault="00C43865" w:rsidP="00901914">
            <w:pPr>
              <w:jc w:val="both"/>
              <w:rPr>
                <w:rFonts w:cs="Arial"/>
                <w:color w:val="FFC000"/>
              </w:rPr>
            </w:pPr>
          </w:p>
          <w:p w:rsidR="00901914" w:rsidRPr="00BC6B30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BC6B30">
              <w:rPr>
                <w:rFonts w:cs="Arial"/>
                <w:color w:val="BF8F00" w:themeColor="accent4" w:themeShade="BF"/>
              </w:rPr>
              <w:t>Examina los rasgos característicos que presentan algunos fenómenos lingüísticos de las variedades del español.</w:t>
            </w:r>
          </w:p>
          <w:p w:rsidR="00C43865" w:rsidRPr="00BC6B30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BC6B30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BC6B30">
              <w:rPr>
                <w:rFonts w:cs="Arial"/>
                <w:color w:val="BF8F00" w:themeColor="accent4" w:themeShade="BF"/>
              </w:rPr>
              <w:t>Explica los resultados obtenidos sobre las características que presentan algunos fenómenos lingüísticos de las variedades del español.</w:t>
            </w:r>
          </w:p>
          <w:p w:rsidR="00C43865" w:rsidRDefault="00C43865" w:rsidP="00901914">
            <w:pPr>
              <w:jc w:val="both"/>
              <w:rPr>
                <w:rFonts w:cs="Arial"/>
                <w:color w:val="FFC000"/>
              </w:rPr>
            </w:pPr>
          </w:p>
          <w:p w:rsidR="00B626B4" w:rsidRDefault="00B626B4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>Utiliza los nociones de campos semánticos, sinónimos y antónimos, para enriquecer la expresión y comprensión oral, y escrita.</w:t>
            </w:r>
          </w:p>
          <w:p w:rsidR="00B626B4" w:rsidRPr="00C43865" w:rsidRDefault="00B626B4" w:rsidP="00901914">
            <w:pPr>
              <w:jc w:val="both"/>
              <w:rPr>
                <w:rFonts w:cs="Arial"/>
                <w:color w:val="FFC000"/>
              </w:rPr>
            </w:pPr>
          </w:p>
          <w:p w:rsidR="00901914" w:rsidRDefault="00901914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lastRenderedPageBreak/>
              <w:t>Establece los requerimientos de la técnica de expresión oral, que mejor se adapte a la comunicación efectiva del mensaje.</w:t>
            </w:r>
          </w:p>
          <w:p w:rsidR="00C43865" w:rsidRPr="00C43865" w:rsidRDefault="00C43865" w:rsidP="009019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B6740D" w:rsidRPr="00C43865" w:rsidRDefault="00901914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  <w:color w:val="C45911" w:themeColor="accent2" w:themeShade="BF"/>
              </w:rPr>
              <w:t>Desarrolla la técnica de expresión oral que mejor se adapte a la comunicación efectiva del mensaje.</w:t>
            </w:r>
          </w:p>
        </w:tc>
        <w:tc>
          <w:tcPr>
            <w:tcW w:w="2532" w:type="pct"/>
          </w:tcPr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</w:tc>
      </w:tr>
      <w:tr w:rsidR="00C43865" w:rsidRPr="00C43865" w:rsidTr="00C43865">
        <w:tc>
          <w:tcPr>
            <w:tcW w:w="5000" w:type="pct"/>
            <w:gridSpan w:val="4"/>
            <w:shd w:val="clear" w:color="auto" w:fill="FFFFFF" w:themeFill="background1"/>
          </w:tcPr>
          <w:p w:rsidR="00C43865" w:rsidRDefault="00C43865" w:rsidP="00B6740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Observaciones:</w:t>
            </w:r>
          </w:p>
          <w:p w:rsidR="00011113" w:rsidRDefault="00011113" w:rsidP="00011113">
            <w:pPr>
              <w:jc w:val="both"/>
              <w:rPr>
                <w:rFonts w:cs="Arial"/>
                <w:b/>
              </w:rPr>
            </w:pPr>
          </w:p>
          <w:p w:rsidR="00011113" w:rsidRDefault="00011113" w:rsidP="00011113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El planeamiento de este mes requiere:</w:t>
            </w:r>
          </w:p>
          <w:p w:rsidR="00011113" w:rsidRPr="00810BE3" w:rsidRDefault="00011113" w:rsidP="0001111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Lectura analítica de textos no literarios </w:t>
            </w:r>
            <w:r w:rsidRPr="00AD74B4">
              <w:rPr>
                <w:rFonts w:asciiTheme="minorHAnsi" w:hAnsiTheme="minorHAnsi" w:cs="Arial"/>
                <w:sz w:val="22"/>
                <w:szCs w:val="22"/>
                <w:u w:val="single"/>
              </w:rPr>
              <w:t>(</w:t>
            </w:r>
            <w:r>
              <w:rPr>
                <w:rFonts w:asciiTheme="minorHAnsi" w:hAnsiTheme="minorHAnsi" w:cs="Arial"/>
                <w:sz w:val="22"/>
                <w:szCs w:val="22"/>
                <w:u w:val="single"/>
              </w:rPr>
              <w:t>texto cinematográfico</w:t>
            </w:r>
            <w:r w:rsidR="00B626B4">
              <w:rPr>
                <w:rFonts w:asciiTheme="minorHAnsi" w:hAnsiTheme="minorHAnsi" w:cs="Arial"/>
                <w:sz w:val="22"/>
                <w:szCs w:val="22"/>
                <w:u w:val="single"/>
              </w:rPr>
              <w:t xml:space="preserve"> y</w:t>
            </w:r>
            <w:r>
              <w:rPr>
                <w:rFonts w:asciiTheme="minorHAnsi" w:hAnsiTheme="minorHAnsi" w:cs="Arial"/>
                <w:sz w:val="22"/>
                <w:szCs w:val="22"/>
                <w:u w:val="single"/>
              </w:rPr>
              <w:t xml:space="preserve"> grafitis)</w:t>
            </w:r>
            <w:r w:rsidRPr="00AD74B4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B626B4" w:rsidRPr="00B626B4" w:rsidRDefault="00B626B4" w:rsidP="0001111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26B4">
              <w:rPr>
                <w:rFonts w:asciiTheme="minorHAnsi" w:hAnsiTheme="minorHAnsi" w:cs="Arial"/>
                <w:sz w:val="22"/>
                <w:szCs w:val="22"/>
              </w:rPr>
              <w:t>R</w:t>
            </w:r>
            <w:r>
              <w:rPr>
                <w:rFonts w:asciiTheme="minorHAnsi" w:hAnsiTheme="minorHAnsi" w:cs="Arial"/>
                <w:sz w:val="22"/>
                <w:szCs w:val="22"/>
              </w:rPr>
              <w:t>econocimiento de los conceptos de campos semánticos, sinónimos y antónimos para su aplicación en la construcción de textos propios.</w:t>
            </w:r>
          </w:p>
          <w:p w:rsidR="00011113" w:rsidRDefault="00011113" w:rsidP="0001111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Reconocimiento y análisis de variedades del español.</w:t>
            </w:r>
          </w:p>
          <w:p w:rsidR="00011113" w:rsidRDefault="00011113" w:rsidP="0001111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Análisis y ejecución de una técnica de expresión oral.</w:t>
            </w:r>
          </w:p>
          <w:p w:rsidR="00011113" w:rsidRDefault="00011113" w:rsidP="00011113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11113" w:rsidRPr="00C43865" w:rsidRDefault="00011113" w:rsidP="00B626B4">
            <w:pPr>
              <w:jc w:val="both"/>
              <w:rPr>
                <w:rFonts w:cs="Arial"/>
                <w:b/>
              </w:rPr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 los textos no literarios permita extraer un tópico, con el cual el estudiantado pued</w:t>
            </w:r>
            <w:r w:rsidRPr="00AD74B4">
              <w:t xml:space="preserve">a construir </w:t>
            </w:r>
            <w:r w:rsidR="001643A3">
              <w:t>un texto propio</w:t>
            </w:r>
            <w:r w:rsidRPr="00AD74B4">
              <w:t xml:space="preserve">, en el </w:t>
            </w:r>
            <w:r>
              <w:t>que</w:t>
            </w:r>
            <w:r w:rsidRPr="00AD74B4">
              <w:t xml:space="preserve"> aplique </w:t>
            </w:r>
            <w:r w:rsidR="001643A3">
              <w:t xml:space="preserve">la temática de </w:t>
            </w:r>
            <w:r w:rsidR="00B626B4">
              <w:t xml:space="preserve">las variedades del idioma español, </w:t>
            </w:r>
            <w:r w:rsidR="001643A3">
              <w:t>l</w:t>
            </w:r>
            <w:r w:rsidR="00B626B4">
              <w:t>o</w:t>
            </w:r>
            <w:r w:rsidR="001643A3">
              <w:t xml:space="preserve">s </w:t>
            </w:r>
            <w:r w:rsidR="00B626B4">
              <w:t>campos semánticos, sinónimos y antónimos</w:t>
            </w:r>
            <w:r>
              <w:rPr>
                <w:rFonts w:cs="Arial"/>
              </w:rPr>
              <w:t xml:space="preserve"> y, </w:t>
            </w:r>
            <w:r>
              <w:t>posteriormente, pueda compartirlo con el grupo por medio de la técnica de expresión oral.</w:t>
            </w:r>
          </w:p>
        </w:tc>
      </w:tr>
    </w:tbl>
    <w:p w:rsidR="006743AE" w:rsidRDefault="006743AE" w:rsidP="006743AE">
      <w:pPr>
        <w:spacing w:after="0"/>
        <w:jc w:val="center"/>
        <w:rPr>
          <w:rFonts w:cs="Arial"/>
          <w:b/>
        </w:rPr>
      </w:pPr>
    </w:p>
    <w:p w:rsidR="00F443AB" w:rsidRDefault="00F443AB" w:rsidP="006743AE">
      <w:pPr>
        <w:spacing w:after="0"/>
        <w:jc w:val="center"/>
        <w:rPr>
          <w:rFonts w:cs="Arial"/>
          <w:b/>
        </w:rPr>
      </w:pPr>
    </w:p>
    <w:p w:rsidR="00F443AB" w:rsidRDefault="00F443AB" w:rsidP="006743AE">
      <w:pPr>
        <w:spacing w:after="0"/>
        <w:jc w:val="center"/>
        <w:rPr>
          <w:rFonts w:cs="Arial"/>
          <w:b/>
        </w:rPr>
      </w:pPr>
    </w:p>
    <w:p w:rsidR="00F443AB" w:rsidRDefault="00F443AB" w:rsidP="006743AE">
      <w:pPr>
        <w:spacing w:after="0"/>
        <w:jc w:val="center"/>
        <w:rPr>
          <w:rFonts w:cs="Arial"/>
          <w:b/>
        </w:rPr>
      </w:pPr>
    </w:p>
    <w:p w:rsidR="00AA3B17" w:rsidRPr="00C43865" w:rsidRDefault="00AA3B17" w:rsidP="00AA3B17">
      <w:pPr>
        <w:spacing w:after="0"/>
        <w:rPr>
          <w:rFonts w:cs="Arial"/>
          <w:b/>
        </w:rPr>
      </w:pPr>
      <w:r w:rsidRPr="00C43865">
        <w:rPr>
          <w:rFonts w:cs="Arial"/>
          <w:b/>
        </w:rPr>
        <w:lastRenderedPageBreak/>
        <w:t>Sección III. Instrumentos de evaluación.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404"/>
        <w:gridCol w:w="3693"/>
        <w:gridCol w:w="2267"/>
        <w:gridCol w:w="2160"/>
        <w:gridCol w:w="2472"/>
      </w:tblGrid>
      <w:tr w:rsidR="00AA3B17" w:rsidRPr="00C43865" w:rsidTr="00CE598A">
        <w:tc>
          <w:tcPr>
            <w:tcW w:w="925" w:type="pct"/>
            <w:vMerge w:val="restart"/>
          </w:tcPr>
          <w:p w:rsidR="00AA3B17" w:rsidRPr="00C43865" w:rsidRDefault="00AA3B17" w:rsidP="00901914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1421" w:type="pct"/>
            <w:vMerge w:val="restart"/>
          </w:tcPr>
          <w:p w:rsidR="00AA3B17" w:rsidRPr="00C43865" w:rsidRDefault="00AA3B17" w:rsidP="00CE598A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654" w:type="pct"/>
            <w:gridSpan w:val="3"/>
          </w:tcPr>
          <w:p w:rsidR="00AA3B17" w:rsidRPr="00C43865" w:rsidRDefault="00AA3B17" w:rsidP="00CE598A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Proceso</w:t>
            </w:r>
          </w:p>
        </w:tc>
      </w:tr>
      <w:tr w:rsidR="000F11EC" w:rsidRPr="00C43865" w:rsidTr="00CE598A">
        <w:trPr>
          <w:trHeight w:val="340"/>
        </w:trPr>
        <w:tc>
          <w:tcPr>
            <w:tcW w:w="925" w:type="pct"/>
            <w:vMerge/>
            <w:shd w:val="clear" w:color="auto" w:fill="FFFFFF" w:themeFill="background1"/>
          </w:tcPr>
          <w:p w:rsidR="00AA3B17" w:rsidRPr="00C43865" w:rsidRDefault="00AA3B17" w:rsidP="00901914">
            <w:pPr>
              <w:jc w:val="center"/>
              <w:rPr>
                <w:rFonts w:cs="Arial"/>
                <w:color w:val="FFC000"/>
              </w:rPr>
            </w:pPr>
          </w:p>
        </w:tc>
        <w:tc>
          <w:tcPr>
            <w:tcW w:w="1421" w:type="pct"/>
            <w:vMerge/>
            <w:shd w:val="clear" w:color="auto" w:fill="FFFFFF" w:themeFill="background1"/>
          </w:tcPr>
          <w:p w:rsidR="00AA3B17" w:rsidRPr="00C43865" w:rsidRDefault="00AA3B17" w:rsidP="00CE598A">
            <w:pPr>
              <w:jc w:val="center"/>
              <w:rPr>
                <w:rFonts w:cs="Arial"/>
                <w:color w:val="FFC000"/>
              </w:rPr>
            </w:pPr>
          </w:p>
        </w:tc>
        <w:tc>
          <w:tcPr>
            <w:tcW w:w="872" w:type="pct"/>
          </w:tcPr>
          <w:p w:rsidR="00AA3B17" w:rsidRPr="00C43865" w:rsidRDefault="00AA3B17" w:rsidP="00CE598A">
            <w:pPr>
              <w:tabs>
                <w:tab w:val="left" w:pos="264"/>
              </w:tabs>
              <w:jc w:val="center"/>
              <w:rPr>
                <w:rFonts w:cs="Arial"/>
              </w:rPr>
            </w:pPr>
            <w:r w:rsidRPr="00C43865">
              <w:rPr>
                <w:rFonts w:cs="Arial"/>
                <w:b/>
              </w:rPr>
              <w:t>Inicial</w:t>
            </w:r>
          </w:p>
        </w:tc>
        <w:tc>
          <w:tcPr>
            <w:tcW w:w="831" w:type="pct"/>
          </w:tcPr>
          <w:p w:rsidR="00AA3B17" w:rsidRPr="00C43865" w:rsidRDefault="00AA3B17" w:rsidP="00CE598A">
            <w:pPr>
              <w:tabs>
                <w:tab w:val="left" w:pos="264"/>
              </w:tabs>
              <w:jc w:val="center"/>
              <w:rPr>
                <w:rFonts w:cs="Arial"/>
                <w:color w:val="FF0000"/>
              </w:rPr>
            </w:pPr>
            <w:r w:rsidRPr="00C43865">
              <w:rPr>
                <w:rFonts w:cs="Arial"/>
                <w:b/>
              </w:rPr>
              <w:t>Intermedio</w:t>
            </w:r>
          </w:p>
        </w:tc>
        <w:tc>
          <w:tcPr>
            <w:tcW w:w="951" w:type="pct"/>
          </w:tcPr>
          <w:p w:rsidR="00AA3B17" w:rsidRPr="00C43865" w:rsidRDefault="00AA3B17" w:rsidP="00CE598A">
            <w:pPr>
              <w:jc w:val="center"/>
              <w:rPr>
                <w:rFonts w:cs="Arial"/>
                <w:color w:val="FF0000"/>
              </w:rPr>
            </w:pPr>
            <w:r w:rsidRPr="00C43865">
              <w:rPr>
                <w:rFonts w:cs="Arial"/>
                <w:b/>
              </w:rPr>
              <w:t>Avanzado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854983" w:rsidRDefault="000E0CC5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854983">
              <w:rPr>
                <w:rFonts w:cs="Arial"/>
                <w:color w:val="BF8F00" w:themeColor="accent4" w:themeShade="BF"/>
              </w:rPr>
              <w:t xml:space="preserve">Selecciona los elementos que pueden utilizarse para analizar un </w:t>
            </w:r>
            <w:r w:rsidRPr="00854983">
              <w:rPr>
                <w:rFonts w:cs="Arial"/>
                <w:color w:val="BF8F00" w:themeColor="accent4" w:themeShade="BF"/>
                <w:u w:val="single"/>
              </w:rPr>
              <w:t>texto cinematográfico</w:t>
            </w:r>
            <w:r w:rsidRPr="0085498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Determina los elementos que componen un texto cinematográfico.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Diferencia cada elemento del texto cinematográfico, de acuerdo a sus características.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Escoge los elementos pertinentes para trabajar el análisis del texto cinematográfico.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854983" w:rsidRDefault="000E0CC5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854983">
              <w:rPr>
                <w:rFonts w:cs="Arial"/>
                <w:color w:val="BF8F00" w:themeColor="accent4" w:themeShade="BF"/>
              </w:rPr>
              <w:t xml:space="preserve">Selecciona los elementos que pueden utilizarse para analizar un </w:t>
            </w:r>
            <w:r w:rsidRPr="00854983">
              <w:rPr>
                <w:rFonts w:cs="Arial"/>
                <w:color w:val="BF8F00" w:themeColor="accent4" w:themeShade="BF"/>
                <w:u w:val="single"/>
              </w:rPr>
              <w:t>grafiti</w:t>
            </w:r>
            <w:r w:rsidRPr="0085498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Determina los elementos que componen un grafiti.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Diferencia cada elemento del grafiti, de acuerdo a sus características.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Escoge los elementos pertinentes para trabajar el análisis del grafiti.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854983" w:rsidRDefault="000E0CC5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854983">
              <w:rPr>
                <w:rFonts w:cs="Arial"/>
                <w:color w:val="BF8F00" w:themeColor="accent4" w:themeShade="BF"/>
              </w:rPr>
              <w:t xml:space="preserve">Pone en práctica los elementos pertinentes en un </w:t>
            </w:r>
            <w:r w:rsidRPr="00854983">
              <w:rPr>
                <w:rFonts w:cs="Arial"/>
                <w:color w:val="BF8F00" w:themeColor="accent4" w:themeShade="BF"/>
                <w:u w:val="single"/>
              </w:rPr>
              <w:t>texto cinematográfico</w:t>
            </w:r>
            <w:r w:rsidRPr="0085498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Cita generalidades de la aplicación de los elementos analizados.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Resalta las ideas presentes en los elementos analizados del texto cinematográfico.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Hace sugerencias de mejoras en las ideas presentes en los elementos analizados del texto cinematográfico.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854983" w:rsidRDefault="000E0CC5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854983">
              <w:rPr>
                <w:rFonts w:cs="Arial"/>
                <w:color w:val="BF8F00" w:themeColor="accent4" w:themeShade="BF"/>
              </w:rPr>
              <w:t xml:space="preserve">Pone en práctica los elementos pertinentes en un </w:t>
            </w:r>
            <w:r w:rsidRPr="00854983">
              <w:rPr>
                <w:rFonts w:cs="Arial"/>
                <w:color w:val="BF8F00" w:themeColor="accent4" w:themeShade="BF"/>
                <w:u w:val="single"/>
              </w:rPr>
              <w:t>grafiti</w:t>
            </w:r>
            <w:r w:rsidRPr="0085498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Cita generalidades de la aplicación de los elementos analizados.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Resalta las ideas presentes en los elementos analizados del grafiti.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Hace sugerencias de mejoras en las ideas presentes en los elementos analizados del grafiti.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854983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85498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85498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85498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texto cinematográfico</w:t>
            </w:r>
            <w:r w:rsidRPr="0085498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0E0CC5" w:rsidRPr="00C43865" w:rsidTr="003D024D">
        <w:trPr>
          <w:trHeight w:val="416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854983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85498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85498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grafiti</w:t>
            </w:r>
            <w:r w:rsidRPr="0085498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 xml:space="preserve">Aclara aspectos de su punto de vista, para facilitar su </w:t>
            </w:r>
            <w:r w:rsidRPr="00C43865">
              <w:rPr>
                <w:rFonts w:cs="Arial"/>
              </w:rPr>
              <w:lastRenderedPageBreak/>
              <w:t>entendimiento de una manera más sencilla.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854983">
              <w:rPr>
                <w:rFonts w:cs="Arial"/>
                <w:b/>
                <w:color w:val="BF8F00" w:themeColor="accent4" w:themeShade="BF"/>
              </w:rPr>
              <w:lastRenderedPageBreak/>
              <w:t>Argumentación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85498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texto cinematográfico</w:t>
            </w:r>
            <w:r w:rsidRPr="0085498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0E0CC5" w:rsidRPr="00854983" w:rsidRDefault="000E0CC5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854983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85498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grafiti</w:t>
            </w:r>
            <w:r w:rsidRPr="0085498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0E0CC5" w:rsidRPr="00854983" w:rsidRDefault="000E0CC5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texto cinematográfico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analizado, tomando como base los niveles de comprensión lectora.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Cita ideas del texto analizado.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Describe similitudes y diferencias entre estas ideas.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Contrasta la información de las ideas.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grafiti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analizado, tomando como base los niveles de comprensión lectora.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Cita ideas del texto analizado.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Describe similitudes y diferencias entre estas ideas.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Contrasta la información de las ideas.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texto cinematográfico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Anota las conclusiones generales de la nueva información para enriquecer la comunicación oral y escrita.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Distingue, las conclusiones principales para enriquecer la comunicación oral y escrita.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Emplea con propiedad las conclusiones para enriquecer la comunicación oral y escrita.</w:t>
            </w:r>
          </w:p>
        </w:tc>
      </w:tr>
      <w:tr w:rsidR="000E0CC5" w:rsidRPr="00C43865" w:rsidTr="003D024D">
        <w:trPr>
          <w:trHeight w:val="421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grafiti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 xml:space="preserve">Anota las conclusiones generales de la nueva información para enriquecer la </w:t>
            </w:r>
            <w:r w:rsidRPr="00C43865">
              <w:rPr>
                <w:rFonts w:cs="Arial"/>
              </w:rPr>
              <w:lastRenderedPageBreak/>
              <w:t>comunicación oral y escrita.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lastRenderedPageBreak/>
              <w:t xml:space="preserve">Distingue, las conclusiones principales para enriquecer la </w:t>
            </w:r>
            <w:r w:rsidRPr="00C43865">
              <w:rPr>
                <w:rFonts w:cs="Arial"/>
              </w:rPr>
              <w:lastRenderedPageBreak/>
              <w:t>comunicación oral y escrita.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lastRenderedPageBreak/>
              <w:t>Emplea con propiedad las conclusiones para enriquecer la comunicación oral y escrita.</w:t>
            </w:r>
          </w:p>
        </w:tc>
      </w:tr>
      <w:tr w:rsidR="000E0CC5" w:rsidRPr="00C43865" w:rsidTr="00901914">
        <w:trPr>
          <w:trHeight w:val="416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Sentido de  pertenencia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C43865">
              <w:rPr>
                <w:rFonts w:cs="Arial"/>
                <w:color w:val="C45911" w:themeColor="accent2" w:themeShade="BF"/>
                <w:u w:val="single"/>
              </w:rPr>
              <w:t>texto cinematográfico</w:t>
            </w:r>
            <w:r w:rsidRPr="00C43865">
              <w:rPr>
                <w:rFonts w:cs="Arial"/>
                <w:color w:val="C45911" w:themeColor="accent2" w:themeShade="BF"/>
              </w:rPr>
              <w:t xml:space="preserve"> 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y del grafiti.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Cita al grupo las palabras claves que dan origen a su interpretación del texto.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Enuncia al grupo las ideas generales de su interpretación del texto.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Comunica al grupo con claridad su interpretación del texto.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C43865">
              <w:rPr>
                <w:rFonts w:cs="Arial"/>
                <w:color w:val="C45911" w:themeColor="accent2" w:themeShade="BF"/>
                <w:u w:val="single"/>
              </w:rPr>
              <w:t>texto cinematográfico</w:t>
            </w:r>
            <w:r w:rsidRPr="00C43865">
              <w:rPr>
                <w:rFonts w:cs="Arial"/>
                <w:color w:val="C45911" w:themeColor="accent2" w:themeShade="BF"/>
              </w:rPr>
              <w:t xml:space="preserve"> 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y del grafiti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Contrasta las diversas interpretaciones del texto.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854983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Integración social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C43865">
              <w:rPr>
                <w:rFonts w:cs="Arial"/>
                <w:color w:val="C45911" w:themeColor="accent2" w:themeShade="BF"/>
                <w:u w:val="single"/>
              </w:rPr>
              <w:t>texto cinematográfico</w:t>
            </w:r>
            <w:r w:rsidRPr="00C43865">
              <w:rPr>
                <w:rFonts w:cs="Arial"/>
                <w:color w:val="C45911" w:themeColor="accent2" w:themeShade="BF"/>
              </w:rPr>
              <w:t xml:space="preserve"> 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y del grafiti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Menciona ideas básicas  para alcanzar una posible interpretación grupal del texto.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Resalta aspectos relevantes para alcanzar una posible interpretación grupal del texto.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Distingue, puntualmente las ideas que deben complementarse para alcanzar una posible interpretación del texto.</w:t>
            </w:r>
          </w:p>
        </w:tc>
      </w:tr>
      <w:tr w:rsidR="00FC17C7" w:rsidRPr="00C43865" w:rsidTr="00901914">
        <w:trPr>
          <w:trHeight w:val="590"/>
        </w:trPr>
        <w:tc>
          <w:tcPr>
            <w:tcW w:w="925" w:type="pct"/>
          </w:tcPr>
          <w:p w:rsidR="00FC17C7" w:rsidRPr="00854983" w:rsidRDefault="00FC17C7" w:rsidP="009019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54983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</w:tc>
        <w:tc>
          <w:tcPr>
            <w:tcW w:w="1421" w:type="pct"/>
          </w:tcPr>
          <w:p w:rsidR="00FC17C7" w:rsidRPr="00854983" w:rsidRDefault="00FC17C7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854983">
              <w:rPr>
                <w:rFonts w:cs="Arial"/>
                <w:color w:val="BF8F00" w:themeColor="accent4" w:themeShade="BF"/>
              </w:rPr>
              <w:t>Compara las características de las variedades de la lengua española.</w:t>
            </w:r>
          </w:p>
        </w:tc>
        <w:tc>
          <w:tcPr>
            <w:tcW w:w="872" w:type="pct"/>
          </w:tcPr>
          <w:p w:rsidR="00FC17C7" w:rsidRPr="00C43865" w:rsidRDefault="00FC17C7" w:rsidP="00901914">
            <w:pPr>
              <w:tabs>
                <w:tab w:val="left" w:pos="264"/>
              </w:tabs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Identifica las variedades de la lengua española.</w:t>
            </w:r>
          </w:p>
        </w:tc>
        <w:tc>
          <w:tcPr>
            <w:tcW w:w="831" w:type="pct"/>
          </w:tcPr>
          <w:p w:rsidR="00FC17C7" w:rsidRPr="00C43865" w:rsidRDefault="00FC17C7" w:rsidP="00901914">
            <w:pPr>
              <w:tabs>
                <w:tab w:val="left" w:pos="264"/>
              </w:tabs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Encuentra similitudes y diferencias entre las variedades de la lengua.</w:t>
            </w:r>
          </w:p>
        </w:tc>
        <w:tc>
          <w:tcPr>
            <w:tcW w:w="951" w:type="pct"/>
          </w:tcPr>
          <w:p w:rsidR="00FC17C7" w:rsidRPr="00C43865" w:rsidRDefault="00FC17C7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Contrasta las variedades según sean geográficas, sociales y estilísticas.</w:t>
            </w:r>
          </w:p>
        </w:tc>
      </w:tr>
      <w:tr w:rsidR="00FC17C7" w:rsidRPr="00C43865" w:rsidTr="00901914">
        <w:trPr>
          <w:trHeight w:val="590"/>
        </w:trPr>
        <w:tc>
          <w:tcPr>
            <w:tcW w:w="925" w:type="pct"/>
          </w:tcPr>
          <w:p w:rsidR="00FC17C7" w:rsidRPr="00854983" w:rsidRDefault="00FC17C7" w:rsidP="009019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54983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</w:tc>
        <w:tc>
          <w:tcPr>
            <w:tcW w:w="1421" w:type="pct"/>
          </w:tcPr>
          <w:p w:rsidR="00FC17C7" w:rsidRPr="00854983" w:rsidRDefault="00FC17C7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854983">
              <w:rPr>
                <w:rFonts w:cs="Arial"/>
                <w:color w:val="BF8F00" w:themeColor="accent4" w:themeShade="BF"/>
              </w:rPr>
              <w:t>Complementa la información de las variedades de la lengua española, con ejemplos de diversos textos.</w:t>
            </w:r>
          </w:p>
        </w:tc>
        <w:tc>
          <w:tcPr>
            <w:tcW w:w="872" w:type="pct"/>
          </w:tcPr>
          <w:p w:rsidR="00FC17C7" w:rsidRPr="00C43865" w:rsidRDefault="00FC17C7" w:rsidP="00901914">
            <w:pPr>
              <w:tabs>
                <w:tab w:val="left" w:pos="264"/>
              </w:tabs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Localiza ejemplos de las variedades en diversos textos.</w:t>
            </w:r>
          </w:p>
        </w:tc>
        <w:tc>
          <w:tcPr>
            <w:tcW w:w="831" w:type="pct"/>
          </w:tcPr>
          <w:p w:rsidR="00FC17C7" w:rsidRPr="00C43865" w:rsidRDefault="00FC17C7" w:rsidP="00901914">
            <w:pPr>
              <w:tabs>
                <w:tab w:val="left" w:pos="264"/>
              </w:tabs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Resalta aspectos relevantes de los ejemplos encontrados.</w:t>
            </w:r>
          </w:p>
        </w:tc>
        <w:tc>
          <w:tcPr>
            <w:tcW w:w="951" w:type="pct"/>
          </w:tcPr>
          <w:p w:rsidR="00FC17C7" w:rsidRPr="00C43865" w:rsidRDefault="00FC17C7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Relaciona los ejemplos a variedades geográficas, sociales o estilísticas, según correspondan.</w:t>
            </w:r>
          </w:p>
        </w:tc>
      </w:tr>
      <w:tr w:rsidR="00FC17C7" w:rsidRPr="00C43865" w:rsidTr="00901914">
        <w:trPr>
          <w:trHeight w:val="590"/>
        </w:trPr>
        <w:tc>
          <w:tcPr>
            <w:tcW w:w="925" w:type="pct"/>
          </w:tcPr>
          <w:p w:rsidR="00FC17C7" w:rsidRPr="00854983" w:rsidRDefault="00FC17C7" w:rsidP="009019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54983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421" w:type="pct"/>
          </w:tcPr>
          <w:p w:rsidR="00FC17C7" w:rsidRPr="00854983" w:rsidRDefault="00FC17C7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854983">
              <w:rPr>
                <w:rFonts w:cs="Arial"/>
                <w:color w:val="BF8F00" w:themeColor="accent4" w:themeShade="BF"/>
              </w:rPr>
              <w:t>Examina los rasgos característicos que presentan algunos fenómenos lingüísticos de las variedades del español.</w:t>
            </w:r>
          </w:p>
        </w:tc>
        <w:tc>
          <w:tcPr>
            <w:tcW w:w="872" w:type="pct"/>
          </w:tcPr>
          <w:p w:rsidR="00FC17C7" w:rsidRPr="00C43865" w:rsidRDefault="00FC17C7" w:rsidP="00901914">
            <w:pPr>
              <w:jc w:val="both"/>
              <w:rPr>
                <w:rFonts w:eastAsia="Times New Roman" w:cs="Arial"/>
              </w:rPr>
            </w:pPr>
            <w:r w:rsidRPr="00C43865">
              <w:rPr>
                <w:rFonts w:cs="Arial"/>
              </w:rPr>
              <w:t>Relata características generales  de algunos fenómenos lingüísticos de las variedades del español.</w:t>
            </w:r>
          </w:p>
        </w:tc>
        <w:tc>
          <w:tcPr>
            <w:tcW w:w="831" w:type="pct"/>
          </w:tcPr>
          <w:p w:rsidR="00FC17C7" w:rsidRPr="00C43865" w:rsidRDefault="00FC17C7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Emite criterios específicos acerca de las características de algunos fenómenos lingüísticos de las variedades del español.</w:t>
            </w:r>
          </w:p>
        </w:tc>
        <w:tc>
          <w:tcPr>
            <w:tcW w:w="951" w:type="pct"/>
          </w:tcPr>
          <w:p w:rsidR="00FC17C7" w:rsidRPr="00C43865" w:rsidRDefault="00FC17C7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Detalla aspectos relevantes de las características de algunos fenómenos lingüísticos de las variedades del español.</w:t>
            </w:r>
          </w:p>
        </w:tc>
      </w:tr>
      <w:tr w:rsidR="00FC17C7" w:rsidRPr="00C43865" w:rsidTr="00901914">
        <w:trPr>
          <w:trHeight w:val="590"/>
        </w:trPr>
        <w:tc>
          <w:tcPr>
            <w:tcW w:w="925" w:type="pct"/>
          </w:tcPr>
          <w:p w:rsidR="00FC17C7" w:rsidRPr="00854983" w:rsidRDefault="00FC17C7" w:rsidP="009019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54983">
              <w:rPr>
                <w:rFonts w:cs="Arial"/>
                <w:b/>
                <w:color w:val="BF8F00" w:themeColor="accent4" w:themeShade="BF"/>
              </w:rPr>
              <w:lastRenderedPageBreak/>
              <w:t>Argumentación</w:t>
            </w:r>
          </w:p>
        </w:tc>
        <w:tc>
          <w:tcPr>
            <w:tcW w:w="1421" w:type="pct"/>
          </w:tcPr>
          <w:p w:rsidR="00FC17C7" w:rsidRPr="00854983" w:rsidRDefault="00FC17C7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854983">
              <w:rPr>
                <w:rFonts w:cs="Arial"/>
                <w:color w:val="BF8F00" w:themeColor="accent4" w:themeShade="BF"/>
              </w:rPr>
              <w:t>Explica los resultados obtenidos sobre las características que presentan algunos fenómenos lingüísticos de las variedades del español.</w:t>
            </w:r>
          </w:p>
        </w:tc>
        <w:tc>
          <w:tcPr>
            <w:tcW w:w="872" w:type="pct"/>
          </w:tcPr>
          <w:p w:rsidR="00FC17C7" w:rsidRPr="00C43865" w:rsidRDefault="00FC17C7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Menciona los resultados obtenidos al examinar las características de algunos fenómenos lingüísticos de las variedades del español.</w:t>
            </w:r>
          </w:p>
        </w:tc>
        <w:tc>
          <w:tcPr>
            <w:tcW w:w="831" w:type="pct"/>
          </w:tcPr>
          <w:p w:rsidR="00FC17C7" w:rsidRPr="00C43865" w:rsidRDefault="00FC17C7" w:rsidP="00901914">
            <w:pPr>
              <w:jc w:val="both"/>
              <w:rPr>
                <w:rFonts w:eastAsia="Times New Roman" w:cs="Arial"/>
              </w:rPr>
            </w:pPr>
            <w:r w:rsidRPr="00C43865">
              <w:rPr>
                <w:rFonts w:cs="Arial"/>
              </w:rPr>
              <w:t>Resalta los resultados obtenidos al examinar las características de algunos fenómenos lingüísticos de las variedades del español.</w:t>
            </w:r>
          </w:p>
        </w:tc>
        <w:tc>
          <w:tcPr>
            <w:tcW w:w="951" w:type="pct"/>
          </w:tcPr>
          <w:p w:rsidR="00FC17C7" w:rsidRPr="00C43865" w:rsidRDefault="00FC17C7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Clarifica aspectos de los resultados obtenidos, al examinar las características de algunos fenómenos lingüísticos de las variedades del español, para facilitar su entendimiento de una manera más sencilla.</w:t>
            </w:r>
          </w:p>
        </w:tc>
      </w:tr>
      <w:tr w:rsidR="00B626B4" w:rsidRPr="00C43865" w:rsidTr="00901914">
        <w:trPr>
          <w:trHeight w:val="590"/>
        </w:trPr>
        <w:tc>
          <w:tcPr>
            <w:tcW w:w="925" w:type="pct"/>
          </w:tcPr>
          <w:p w:rsidR="00B626B4" w:rsidRPr="00854983" w:rsidRDefault="00B626B4" w:rsidP="00B626B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85498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421" w:type="pct"/>
          </w:tcPr>
          <w:p w:rsidR="00B626B4" w:rsidRPr="00CD2884" w:rsidRDefault="00B626B4" w:rsidP="00B626B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>Utiliza los nociones de campos semánticos, sinónimos y antónimos, para enriquecer la expresión y comprensión oral, y escrita.</w:t>
            </w:r>
          </w:p>
        </w:tc>
        <w:tc>
          <w:tcPr>
            <w:tcW w:w="872" w:type="pct"/>
          </w:tcPr>
          <w:p w:rsidR="00B626B4" w:rsidRPr="00CD2884" w:rsidRDefault="00B626B4" w:rsidP="00B626B4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Señala los términos que requieren sustituirse, para enriquecer la expresión y comprensión oral, y escrita.</w:t>
            </w:r>
          </w:p>
        </w:tc>
        <w:tc>
          <w:tcPr>
            <w:tcW w:w="831" w:type="pct"/>
          </w:tcPr>
          <w:p w:rsidR="00B626B4" w:rsidRPr="00CD2884" w:rsidRDefault="00B626B4" w:rsidP="00B626B4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Distingue los términos que pueden utilizarse para sustituir aquellos que lo requieran, para enriquecer la expresión y comprensión oral, y escrita.</w:t>
            </w:r>
          </w:p>
        </w:tc>
        <w:tc>
          <w:tcPr>
            <w:tcW w:w="951" w:type="pct"/>
          </w:tcPr>
          <w:p w:rsidR="00B626B4" w:rsidRPr="00CD2884" w:rsidRDefault="00B626B4" w:rsidP="00B626B4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Emplea con propiedad las nociones de campos semánticos, sinónimos, antónimos, para enriquecer la expresión y comprensión oral, y escrita.</w:t>
            </w:r>
          </w:p>
        </w:tc>
      </w:tr>
      <w:tr w:rsidR="00B626B4" w:rsidRPr="00C43865" w:rsidTr="00901914">
        <w:trPr>
          <w:trHeight w:val="279"/>
        </w:trPr>
        <w:tc>
          <w:tcPr>
            <w:tcW w:w="925" w:type="pct"/>
          </w:tcPr>
          <w:p w:rsidR="00B626B4" w:rsidRPr="00854983" w:rsidRDefault="00B626B4" w:rsidP="00B626B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85498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  <w:bookmarkStart w:id="0" w:name="_GoBack"/>
            <w:bookmarkEnd w:id="0"/>
          </w:p>
        </w:tc>
        <w:tc>
          <w:tcPr>
            <w:tcW w:w="1421" w:type="pct"/>
          </w:tcPr>
          <w:p w:rsidR="00B626B4" w:rsidRPr="00C43865" w:rsidRDefault="00B626B4" w:rsidP="00B626B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>Establece los requerimientos de la técnica de expresión oral, que mejor se adapte a la comunicación efectiva del mensaje.</w:t>
            </w:r>
          </w:p>
        </w:tc>
        <w:tc>
          <w:tcPr>
            <w:tcW w:w="872" w:type="pct"/>
          </w:tcPr>
          <w:p w:rsidR="00B626B4" w:rsidRPr="00C43865" w:rsidRDefault="00B626B4" w:rsidP="00B626B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Anota los requerimientos básicos para utilizar las técnicas de expresión oral en la comunicación de las ideas.</w:t>
            </w:r>
          </w:p>
        </w:tc>
        <w:tc>
          <w:tcPr>
            <w:tcW w:w="831" w:type="pct"/>
          </w:tcPr>
          <w:p w:rsidR="00B626B4" w:rsidRPr="00C43865" w:rsidRDefault="00B626B4" w:rsidP="00B626B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Destaca aspectos relevantes de las técnicas de expresión oral en la comunicación de las ideas.</w:t>
            </w:r>
          </w:p>
        </w:tc>
        <w:tc>
          <w:tcPr>
            <w:tcW w:w="951" w:type="pct"/>
          </w:tcPr>
          <w:p w:rsidR="00B626B4" w:rsidRPr="00C43865" w:rsidRDefault="00B626B4" w:rsidP="00B626B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Denomina los requerimientos básicos para la técnica de expresión oral que mejor se adapte a la comunicación efectiva del mensaje.</w:t>
            </w:r>
          </w:p>
        </w:tc>
      </w:tr>
      <w:tr w:rsidR="00B626B4" w:rsidRPr="00C43865" w:rsidTr="00901914">
        <w:trPr>
          <w:trHeight w:val="64"/>
        </w:trPr>
        <w:tc>
          <w:tcPr>
            <w:tcW w:w="925" w:type="pct"/>
          </w:tcPr>
          <w:p w:rsidR="00B626B4" w:rsidRPr="00854983" w:rsidRDefault="00B626B4" w:rsidP="00B626B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85498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1421" w:type="pct"/>
          </w:tcPr>
          <w:p w:rsidR="00B626B4" w:rsidRPr="00C43865" w:rsidRDefault="00B626B4" w:rsidP="00B626B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>Desarrolla la técnica de expresión oral que mejor se adapte a la comunicación efectiva del mensaje.</w:t>
            </w:r>
          </w:p>
        </w:tc>
        <w:tc>
          <w:tcPr>
            <w:tcW w:w="872" w:type="pct"/>
          </w:tcPr>
          <w:p w:rsidR="00B626B4" w:rsidRPr="00C43865" w:rsidRDefault="00B626B4" w:rsidP="00B626B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831" w:type="pct"/>
          </w:tcPr>
          <w:p w:rsidR="00B626B4" w:rsidRPr="00C43865" w:rsidRDefault="00B626B4" w:rsidP="00B626B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 xml:space="preserve">Demuestra la técnica de expresión oral, de acuerdo con sus características, que mejor se adapte a la </w:t>
            </w:r>
            <w:r w:rsidRPr="00C43865">
              <w:rPr>
                <w:rFonts w:cs="Arial"/>
              </w:rPr>
              <w:lastRenderedPageBreak/>
              <w:t>comunicación efectiva del mensaje.</w:t>
            </w:r>
          </w:p>
        </w:tc>
        <w:tc>
          <w:tcPr>
            <w:tcW w:w="951" w:type="pct"/>
          </w:tcPr>
          <w:p w:rsidR="00B626B4" w:rsidRPr="00C43865" w:rsidRDefault="00B626B4" w:rsidP="00B626B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lastRenderedPageBreak/>
              <w:t>Evalúa la técnica de expresión oral empleada para la estimación de su efectividad en la transmisión efectiva del mensaje.</w:t>
            </w:r>
          </w:p>
        </w:tc>
      </w:tr>
    </w:tbl>
    <w:p w:rsidR="00901914" w:rsidRPr="00C43865" w:rsidRDefault="00901914" w:rsidP="00F443AB">
      <w:pPr>
        <w:rPr>
          <w:rFonts w:cs="Arial"/>
          <w:b/>
        </w:rPr>
      </w:pPr>
    </w:p>
    <w:sectPr w:rsidR="00901914" w:rsidRPr="00C43865" w:rsidSect="006743A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5A6"/>
    <w:multiLevelType w:val="hybridMultilevel"/>
    <w:tmpl w:val="8CE6CA9A"/>
    <w:lvl w:ilvl="0" w:tplc="1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AE"/>
    <w:rsid w:val="00011113"/>
    <w:rsid w:val="000348E8"/>
    <w:rsid w:val="00056AA8"/>
    <w:rsid w:val="00075742"/>
    <w:rsid w:val="00086847"/>
    <w:rsid w:val="000E0CC5"/>
    <w:rsid w:val="000F11EC"/>
    <w:rsid w:val="001643A3"/>
    <w:rsid w:val="002F33E6"/>
    <w:rsid w:val="0031064A"/>
    <w:rsid w:val="00375C11"/>
    <w:rsid w:val="003D024D"/>
    <w:rsid w:val="00433095"/>
    <w:rsid w:val="004567DD"/>
    <w:rsid w:val="00671FFF"/>
    <w:rsid w:val="006743AE"/>
    <w:rsid w:val="00771F80"/>
    <w:rsid w:val="007A49E8"/>
    <w:rsid w:val="00854983"/>
    <w:rsid w:val="008E629D"/>
    <w:rsid w:val="00901914"/>
    <w:rsid w:val="009C76D9"/>
    <w:rsid w:val="00A27850"/>
    <w:rsid w:val="00A66B60"/>
    <w:rsid w:val="00AA3B17"/>
    <w:rsid w:val="00AA6396"/>
    <w:rsid w:val="00B10362"/>
    <w:rsid w:val="00B421F6"/>
    <w:rsid w:val="00B626B4"/>
    <w:rsid w:val="00B6740D"/>
    <w:rsid w:val="00BC6B30"/>
    <w:rsid w:val="00C33468"/>
    <w:rsid w:val="00C43865"/>
    <w:rsid w:val="00C97B4D"/>
    <w:rsid w:val="00CE598A"/>
    <w:rsid w:val="00D446EE"/>
    <w:rsid w:val="00D46F86"/>
    <w:rsid w:val="00E31459"/>
    <w:rsid w:val="00EB0C16"/>
    <w:rsid w:val="00F34F5D"/>
    <w:rsid w:val="00F443AB"/>
    <w:rsid w:val="00FC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21C00-F5D2-4194-908C-BEB7E9555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3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7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6743AE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6743A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6743AE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6743AE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13</Pages>
  <Words>2824</Words>
  <Characters>15532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Asesoría Nacional de Español-DTCED</dc:creator>
  <cp:keywords/>
  <dc:description/>
  <cp:lastModifiedBy>Paula Lizano Arguello</cp:lastModifiedBy>
  <cp:revision>31</cp:revision>
  <dcterms:created xsi:type="dcterms:W3CDTF">2019-07-03T14:20:00Z</dcterms:created>
  <dcterms:modified xsi:type="dcterms:W3CDTF">2019-12-10T20:45:00Z</dcterms:modified>
</cp:coreProperties>
</file>