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C74" w:rsidRDefault="004C6887" w:rsidP="0094088F">
      <w:pPr>
        <w:jc w:val="center"/>
        <w:rPr>
          <w:rFonts w:ascii="Albertus Extra Bold" w:hAnsi="Albertus Extra Bold"/>
        </w:rPr>
      </w:pPr>
      <w:r>
        <w:rPr>
          <w:rFonts w:ascii="Albertus Extra Bold" w:hAnsi="Albertus Extra Bold"/>
        </w:rPr>
        <w:t xml:space="preserve">Círculo </w:t>
      </w:r>
      <w:r w:rsidR="005A6AC9">
        <w:rPr>
          <w:rFonts w:ascii="Albertus Extra Bold" w:hAnsi="Albertus Extra Bold"/>
        </w:rPr>
        <w:t>C</w:t>
      </w:r>
      <w:r>
        <w:rPr>
          <w:rFonts w:ascii="Albertus Extra Bold" w:hAnsi="Albertus Extra Bold"/>
        </w:rPr>
        <w:t>reativo</w:t>
      </w:r>
    </w:p>
    <w:p w:rsidR="004C6887" w:rsidRDefault="004C6887" w:rsidP="004C6887">
      <w:pPr>
        <w:jc w:val="both"/>
      </w:pPr>
    </w:p>
    <w:p w:rsidR="004C6887" w:rsidRPr="008709BB" w:rsidRDefault="004C6887" w:rsidP="004C6887">
      <w:pPr>
        <w:jc w:val="both"/>
      </w:pPr>
      <w:r>
        <w:t>Este material está centrado en</w:t>
      </w:r>
      <w:r w:rsidRPr="008709BB">
        <w:t xml:space="preserve"> actividades lúdicas,</w:t>
      </w:r>
      <w:r>
        <w:t xml:space="preserve"> que pueden servir como </w:t>
      </w:r>
      <w:r w:rsidRPr="008709BB">
        <w:t>apoyo</w:t>
      </w:r>
      <w:r>
        <w:t xml:space="preserve"> a los docentes</w:t>
      </w:r>
      <w:r w:rsidRPr="008709BB">
        <w:t xml:space="preserve"> para reforzar </w:t>
      </w:r>
      <w:r>
        <w:t xml:space="preserve">los </w:t>
      </w:r>
      <w:r w:rsidRPr="008709BB">
        <w:t>contenidos de estudio</w:t>
      </w:r>
      <w:r>
        <w:t xml:space="preserve"> de las diferentes asignaturas. E</w:t>
      </w:r>
      <w:r w:rsidRPr="008709BB">
        <w:t>stas actividades se podrán desarrollar</w:t>
      </w:r>
      <w:r>
        <w:t>,</w:t>
      </w:r>
      <w:r w:rsidRPr="008709BB">
        <w:t xml:space="preserve"> preferiblemente</w:t>
      </w:r>
      <w:r>
        <w:t>,</w:t>
      </w:r>
      <w:r w:rsidRPr="008709BB">
        <w:t xml:space="preserve"> en </w:t>
      </w:r>
      <w:r>
        <w:t xml:space="preserve">un </w:t>
      </w:r>
      <w:r w:rsidRPr="008709BB">
        <w:t xml:space="preserve">espacio abierto.  </w:t>
      </w:r>
    </w:p>
    <w:p w:rsidR="004C6887" w:rsidRPr="008709BB" w:rsidRDefault="004C6887" w:rsidP="004C6887">
      <w:pPr>
        <w:autoSpaceDE w:val="0"/>
        <w:autoSpaceDN w:val="0"/>
        <w:adjustRightInd w:val="0"/>
        <w:spacing w:after="0" w:line="240" w:lineRule="auto"/>
        <w:jc w:val="both"/>
      </w:pPr>
      <w:r w:rsidRPr="008709BB">
        <w:t>Las actividades lúdicas deberán de adaptarse a las características de la zona</w:t>
      </w:r>
      <w:r>
        <w:t xml:space="preserve"> y tomar</w:t>
      </w:r>
      <w:r w:rsidRPr="008709BB">
        <w:t xml:space="preserve"> en cuenta las medidas de seguridad</w:t>
      </w:r>
      <w:r>
        <w:t xml:space="preserve"> como, por ejemplo, </w:t>
      </w:r>
      <w:r>
        <w:rPr>
          <w:rFonts w:cs="Arial"/>
          <w:color w:val="292526"/>
        </w:rPr>
        <w:t xml:space="preserve">señalar </w:t>
      </w:r>
      <w:r w:rsidRPr="008709BB">
        <w:rPr>
          <w:rFonts w:cs="Arial"/>
          <w:color w:val="292526"/>
        </w:rPr>
        <w:t>los posibles peligros de los animales y plantas</w:t>
      </w:r>
      <w:r>
        <w:rPr>
          <w:rFonts w:cs="Arial"/>
          <w:color w:val="292526"/>
        </w:rPr>
        <w:t xml:space="preserve">, entre otros </w:t>
      </w:r>
      <w:r w:rsidRPr="008709BB">
        <w:rPr>
          <w:rFonts w:cs="Arial"/>
          <w:color w:val="292526"/>
        </w:rPr>
        <w:t>(picaduras de víboras, alacranes</w:t>
      </w:r>
      <w:r>
        <w:rPr>
          <w:rFonts w:cs="Arial"/>
          <w:color w:val="292526"/>
        </w:rPr>
        <w:t>, hormigas y plantas con espinas o venenosas</w:t>
      </w:r>
      <w:r w:rsidRPr="008709BB">
        <w:rPr>
          <w:rFonts w:cs="Arial"/>
          <w:color w:val="292526"/>
        </w:rPr>
        <w:t>).</w:t>
      </w:r>
    </w:p>
    <w:p w:rsidR="004C6887" w:rsidRPr="008709BB" w:rsidRDefault="004C6887" w:rsidP="004C6887">
      <w:pPr>
        <w:jc w:val="both"/>
      </w:pPr>
      <w:r>
        <w:t>Ello para que la integridad del estudiantado</w:t>
      </w:r>
      <w:r w:rsidRPr="008709BB">
        <w:t xml:space="preserve"> no se vea en riesgo </w:t>
      </w:r>
      <w:r>
        <w:t xml:space="preserve">o </w:t>
      </w:r>
      <w:r w:rsidRPr="008709BB">
        <w:t>peligro.</w:t>
      </w:r>
    </w:p>
    <w:p w:rsidR="004C6887" w:rsidRDefault="004C6887" w:rsidP="0094088F">
      <w:pPr>
        <w:jc w:val="center"/>
        <w:rPr>
          <w:rFonts w:ascii="Albertus Extra Bold" w:hAnsi="Albertus Extra Bold"/>
        </w:rPr>
      </w:pPr>
    </w:p>
    <w:p w:rsidR="0043288E" w:rsidRDefault="0043288E" w:rsidP="0043288E">
      <w:r>
        <w:t xml:space="preserve">Habilidades para el </w:t>
      </w:r>
      <w:r w:rsidR="00F7002D">
        <w:rPr>
          <w:b/>
        </w:rPr>
        <w:t>C</w:t>
      </w:r>
      <w:r w:rsidRPr="00571626">
        <w:rPr>
          <w:b/>
        </w:rPr>
        <w:t xml:space="preserve">írculo </w:t>
      </w:r>
      <w:r w:rsidR="00F7002D">
        <w:rPr>
          <w:b/>
        </w:rPr>
        <w:t>C</w:t>
      </w:r>
      <w:r>
        <w:rPr>
          <w:b/>
        </w:rPr>
        <w:t>reativo</w:t>
      </w:r>
      <w:r>
        <w:t xml:space="preserve">: </w:t>
      </w:r>
    </w:p>
    <w:tbl>
      <w:tblPr>
        <w:tblStyle w:val="Tablanormal1"/>
        <w:tblW w:w="5086" w:type="pct"/>
        <w:tblLook w:val="04A0" w:firstRow="1" w:lastRow="0" w:firstColumn="1" w:lastColumn="0" w:noHBand="0" w:noVBand="1"/>
      </w:tblPr>
      <w:tblGrid>
        <w:gridCol w:w="2522"/>
        <w:gridCol w:w="10698"/>
      </w:tblGrid>
      <w:tr w:rsidR="0043288E" w:rsidRPr="00851290" w:rsidTr="00B305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hideMark/>
          </w:tcPr>
          <w:p w:rsidR="0043288E" w:rsidRPr="00851290" w:rsidRDefault="0043288E" w:rsidP="00B30531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4046" w:type="pct"/>
            <w:hideMark/>
          </w:tcPr>
          <w:p w:rsidR="0043288E" w:rsidRPr="00851290" w:rsidRDefault="005A6AC9" w:rsidP="00B30531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Indicador  (p</w:t>
            </w:r>
            <w:r w:rsidR="0043288E"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43288E" w:rsidRPr="00851290" w:rsidTr="00B30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 w:val="restart"/>
          </w:tcPr>
          <w:p w:rsidR="00BE0984" w:rsidRPr="001E70A5" w:rsidRDefault="00BE0984" w:rsidP="00BE0984">
            <w:pPr>
              <w:pStyle w:val="Sinespaciad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Pensamiento s</w:t>
            </w:r>
            <w:r w:rsidRPr="001E70A5">
              <w:rPr>
                <w:rFonts w:asciiTheme="minorHAnsi" w:hAnsiTheme="minorHAnsi" w:cstheme="minorHAnsi"/>
                <w:sz w:val="22"/>
                <w:szCs w:val="22"/>
              </w:rPr>
              <w:t xml:space="preserve">istémico: </w:t>
            </w:r>
          </w:p>
          <w:p w:rsidR="00BE0984" w:rsidRPr="00BE0984" w:rsidRDefault="00BE0984" w:rsidP="00BE0984">
            <w:pPr>
              <w:pStyle w:val="Sinespaciado"/>
              <w:jc w:val="center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BE0984">
              <w:rPr>
                <w:rFonts w:asciiTheme="minorHAnsi" w:hAnsiTheme="minorHAnsi" w:cstheme="minorHAnsi"/>
                <w:b w:val="0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  <w:p w:rsidR="0043288E" w:rsidRPr="00851290" w:rsidRDefault="0043288E" w:rsidP="00B30531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046" w:type="pct"/>
          </w:tcPr>
          <w:p w:rsidR="00BE0984" w:rsidRPr="00A23DEA" w:rsidRDefault="00BE0984" w:rsidP="00BE09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A23DEA">
              <w:rPr>
                <w:rFonts w:eastAsia="Times New Roman" w:cstheme="minorHAnsi"/>
                <w:lang w:eastAsia="es-ES"/>
              </w:rPr>
              <w:t>Abstrae los datos, hechos, acciones y objetos como parte de contextos más amplios y complejos.</w:t>
            </w:r>
          </w:p>
          <w:p w:rsidR="005A6AC9" w:rsidRDefault="005A6AC9" w:rsidP="005A6A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A23DEA">
              <w:rPr>
                <w:rFonts w:cstheme="minorHAnsi"/>
                <w:b/>
              </w:rPr>
              <w:t>(Patrones dentro del sistema)</w:t>
            </w:r>
          </w:p>
          <w:p w:rsidR="0043288E" w:rsidRPr="00851290" w:rsidRDefault="0043288E" w:rsidP="00BE09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3288E" w:rsidRPr="00851290" w:rsidTr="00B3053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</w:tcPr>
          <w:p w:rsidR="0043288E" w:rsidRPr="00851290" w:rsidRDefault="0043288E" w:rsidP="00B3053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</w:tcPr>
          <w:p w:rsidR="00BE0984" w:rsidRPr="00A23DEA" w:rsidRDefault="00BE0984" w:rsidP="00BE09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lang w:eastAsia="es-ES"/>
              </w:rPr>
            </w:pPr>
            <w:r w:rsidRPr="00A23DEA">
              <w:rPr>
                <w:rFonts w:eastAsia="Times New Roman" w:cstheme="minorHAnsi"/>
                <w:lang w:eastAsia="es-ES"/>
              </w:rPr>
              <w:t>Expone cómo cada objeto, hecho, persona y ser vivo son parte de un sistema dinámico de interrelación e interdependencia en su entorno determinado</w:t>
            </w:r>
            <w:r w:rsidRPr="00A23DEA">
              <w:rPr>
                <w:rFonts w:eastAsia="Times New Roman" w:cstheme="minorHAnsi"/>
                <w:b/>
                <w:lang w:eastAsia="es-ES"/>
              </w:rPr>
              <w:t>.</w:t>
            </w:r>
          </w:p>
          <w:p w:rsidR="005A6AC9" w:rsidRDefault="005A6AC9" w:rsidP="005A6A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A23DEA">
              <w:rPr>
                <w:rFonts w:cstheme="minorHAnsi"/>
                <w:b/>
              </w:rPr>
              <w:t>(Causalidad entre los componentes del sistema</w:t>
            </w:r>
            <w:r>
              <w:rPr>
                <w:rFonts w:cstheme="minorHAnsi"/>
                <w:b/>
              </w:rPr>
              <w:t>)</w:t>
            </w:r>
          </w:p>
          <w:p w:rsidR="0043288E" w:rsidRPr="00851290" w:rsidRDefault="0043288E" w:rsidP="00BE09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3288E" w:rsidRPr="00851290" w:rsidTr="00B30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</w:tcPr>
          <w:p w:rsidR="0043288E" w:rsidRPr="00851290" w:rsidRDefault="0043288E" w:rsidP="00B30531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</w:tcPr>
          <w:p w:rsidR="00BE0984" w:rsidRPr="00A23DEA" w:rsidRDefault="00BE0984" w:rsidP="00BE09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es-ES"/>
              </w:rPr>
            </w:pPr>
            <w:r w:rsidRPr="00A23DEA">
              <w:rPr>
                <w:rFonts w:eastAsia="Times New Roman" w:cstheme="minorHAnsi"/>
                <w:lang w:eastAsia="es-ES"/>
              </w:rPr>
              <w:t>Desarrolla nuevos conocimientos, técnicas y herramientas prácticas que le permiten la reconstrucción de sentidos.</w:t>
            </w:r>
          </w:p>
          <w:p w:rsidR="005A6AC9" w:rsidRPr="00A23DEA" w:rsidRDefault="005A6AC9" w:rsidP="005A6A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lang w:eastAsia="es-ES"/>
              </w:rPr>
            </w:pPr>
            <w:r w:rsidRPr="00A23DEA">
              <w:rPr>
                <w:rFonts w:eastAsia="Times New Roman" w:cstheme="minorHAnsi"/>
                <w:b/>
                <w:lang w:eastAsia="es-ES"/>
              </w:rPr>
              <w:t>(Modificación y mejoras del sistema)</w:t>
            </w:r>
          </w:p>
          <w:p w:rsidR="0043288E" w:rsidRPr="00851290" w:rsidRDefault="0043288E" w:rsidP="00BE0984">
            <w:pPr>
              <w:tabs>
                <w:tab w:val="left" w:pos="186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3288E" w:rsidRDefault="0043288E" w:rsidP="0094088F">
      <w:pPr>
        <w:jc w:val="center"/>
        <w:rPr>
          <w:rFonts w:ascii="Albertus Extra Bold" w:hAnsi="Albertus Extra Bold"/>
        </w:rPr>
      </w:pPr>
    </w:p>
    <w:p w:rsidR="005A6AC9" w:rsidRDefault="005A6AC9" w:rsidP="0094088F">
      <w:pPr>
        <w:jc w:val="center"/>
        <w:rPr>
          <w:rFonts w:ascii="Albertus Extra Bold" w:hAnsi="Albertus Extra Bold"/>
        </w:rPr>
      </w:pPr>
    </w:p>
    <w:p w:rsidR="005A6AC9" w:rsidRDefault="005A6AC9" w:rsidP="0094088F">
      <w:pPr>
        <w:jc w:val="center"/>
        <w:rPr>
          <w:rFonts w:ascii="Albertus Extra Bold" w:hAnsi="Albertus Extra Bold"/>
        </w:rPr>
      </w:pPr>
    </w:p>
    <w:p w:rsidR="00026729" w:rsidRDefault="00026729" w:rsidP="00F423BE"/>
    <w:tbl>
      <w:tblPr>
        <w:tblStyle w:val="Tabladecuadrcula4-nfasis4"/>
        <w:tblpPr w:leftFromText="141" w:rightFromText="141" w:vertAnchor="text" w:horzAnchor="margin" w:tblpY="290"/>
        <w:tblW w:w="13036" w:type="dxa"/>
        <w:tblLook w:val="04A0" w:firstRow="1" w:lastRow="0" w:firstColumn="1" w:lastColumn="0" w:noHBand="0" w:noVBand="1"/>
      </w:tblPr>
      <w:tblGrid>
        <w:gridCol w:w="2737"/>
        <w:gridCol w:w="8457"/>
        <w:gridCol w:w="1842"/>
      </w:tblGrid>
      <w:tr w:rsidR="001308B4" w:rsidTr="007A0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</w:tcPr>
          <w:p w:rsidR="001308B4" w:rsidRDefault="00D64256" w:rsidP="0020757D">
            <w:pPr>
              <w:spacing w:line="360" w:lineRule="auto"/>
              <w:contextualSpacing/>
              <w:jc w:val="center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bookmarkStart w:id="0" w:name="_GoBack" w:colFirst="0" w:colLast="0"/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lastRenderedPageBreak/>
              <w:t>Temáticas generales</w:t>
            </w:r>
          </w:p>
        </w:tc>
        <w:tc>
          <w:tcPr>
            <w:tcW w:w="8457" w:type="dxa"/>
          </w:tcPr>
          <w:p w:rsidR="001308B4" w:rsidRDefault="001308B4" w:rsidP="00326FEF">
            <w:pPr>
              <w:spacing w:line="360" w:lineRule="auto"/>
              <w:contextualSpacing/>
              <w:jc w:val="center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Actividades de mediación</w:t>
            </w:r>
          </w:p>
        </w:tc>
        <w:tc>
          <w:tcPr>
            <w:tcW w:w="1842" w:type="dxa"/>
          </w:tcPr>
          <w:p w:rsidR="001308B4" w:rsidRDefault="001308B4" w:rsidP="00326FEF">
            <w:pPr>
              <w:spacing w:line="360" w:lineRule="auto"/>
              <w:contextualSpacing/>
              <w:jc w:val="center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t>Cronograma</w:t>
            </w:r>
            <w:r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  <w:br/>
            </w:r>
          </w:p>
        </w:tc>
      </w:tr>
      <w:tr w:rsidR="001308B4" w:rsidTr="00072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  <w:vMerge w:val="restart"/>
          </w:tcPr>
          <w:p w:rsidR="001308B4" w:rsidRPr="00326FEF" w:rsidRDefault="00D64256" w:rsidP="0020757D">
            <w:pPr>
              <w:spacing w:line="360" w:lineRule="auto"/>
              <w:jc w:val="center"/>
              <w:textAlignment w:val="top"/>
              <w:rPr>
                <w:rFonts w:eastAsiaTheme="minorEastAsia" w:cs="Arial"/>
                <w:kern w:val="24"/>
              </w:rPr>
            </w:pPr>
            <w:r>
              <w:t>Juegos</w:t>
            </w:r>
          </w:p>
        </w:tc>
        <w:tc>
          <w:tcPr>
            <w:tcW w:w="8457" w:type="dxa"/>
          </w:tcPr>
          <w:p w:rsidR="001308B4" w:rsidRPr="00326FEF" w:rsidRDefault="001308B4" w:rsidP="00326FEF">
            <w:pPr>
              <w:spacing w:line="360" w:lineRule="auto"/>
              <w:contextualSpacing/>
              <w:jc w:val="both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Arial"/>
                <w:b/>
                <w:kern w:val="24"/>
                <w:lang w:val="es-ES" w:eastAsia="es-CR"/>
              </w:rPr>
            </w:pPr>
            <w:r w:rsidRPr="00326FEF">
              <w:rPr>
                <w:rFonts w:eastAsiaTheme="minorEastAsia" w:cs="Arial"/>
                <w:b/>
                <w:kern w:val="24"/>
                <w:lang w:val="es-ES" w:eastAsia="es-CR"/>
              </w:rPr>
              <w:t>Motivación:</w:t>
            </w:r>
          </w:p>
          <w:p w:rsidR="005A6AC9" w:rsidRPr="00326FEF" w:rsidRDefault="005A6AC9" w:rsidP="00326FE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  <w:r w:rsidRPr="00326FEF">
              <w:rPr>
                <w:rFonts w:cs="Arial"/>
                <w:color w:val="292526"/>
              </w:rPr>
              <w:t>El</w:t>
            </w:r>
            <w:r w:rsidR="00326FEF">
              <w:rPr>
                <w:rFonts w:cs="Arial"/>
                <w:color w:val="292526"/>
              </w:rPr>
              <w:t>/la</w:t>
            </w:r>
            <w:r w:rsidRPr="00326FEF">
              <w:rPr>
                <w:rFonts w:cs="Arial"/>
                <w:color w:val="292526"/>
              </w:rPr>
              <w:t xml:space="preserve"> docente de aula, será un</w:t>
            </w:r>
            <w:r w:rsidR="00326FEF">
              <w:rPr>
                <w:rFonts w:cs="Arial"/>
                <w:color w:val="292526"/>
              </w:rPr>
              <w:t>/una</w:t>
            </w:r>
            <w:r w:rsidRPr="00326FEF">
              <w:rPr>
                <w:rFonts w:cs="Arial"/>
                <w:color w:val="292526"/>
              </w:rPr>
              <w:t xml:space="preserve"> facilitador</w:t>
            </w:r>
            <w:r w:rsidR="00326FEF">
              <w:rPr>
                <w:rFonts w:cs="Arial"/>
                <w:color w:val="292526"/>
              </w:rPr>
              <w:t>/a</w:t>
            </w:r>
            <w:r w:rsidRPr="00326FEF">
              <w:rPr>
                <w:rFonts w:cs="Arial"/>
                <w:color w:val="292526"/>
              </w:rPr>
              <w:t xml:space="preserve"> </w:t>
            </w:r>
            <w:r w:rsidR="00326FEF">
              <w:rPr>
                <w:rFonts w:cs="Arial"/>
                <w:color w:val="292526"/>
              </w:rPr>
              <w:t>y motivará</w:t>
            </w:r>
            <w:r w:rsidRPr="00326FEF">
              <w:rPr>
                <w:rFonts w:cs="Arial"/>
                <w:color w:val="292526"/>
              </w:rPr>
              <w:t xml:space="preserve"> al estudiante en su proceso de aprendizaje</w:t>
            </w:r>
            <w:r w:rsidR="00326FEF">
              <w:rPr>
                <w:rFonts w:cs="Arial"/>
                <w:color w:val="292526"/>
              </w:rPr>
              <w:t xml:space="preserve"> al realizar</w:t>
            </w:r>
            <w:r w:rsidRPr="00326FEF">
              <w:rPr>
                <w:rFonts w:cs="Arial"/>
                <w:color w:val="292526"/>
              </w:rPr>
              <w:t xml:space="preserve"> </w:t>
            </w:r>
            <w:r w:rsidRPr="00326FEF">
              <w:rPr>
                <w:rFonts w:cs="Calibri"/>
              </w:rPr>
              <w:t xml:space="preserve">preguntas generadoras que despierten el interés del estudiante. </w:t>
            </w:r>
          </w:p>
          <w:p w:rsidR="005A6AC9" w:rsidRPr="00326FEF" w:rsidRDefault="005A6AC9" w:rsidP="00326FE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</w:p>
          <w:p w:rsidR="005A6AC9" w:rsidRPr="00326FEF" w:rsidRDefault="005A6AC9" w:rsidP="00326FEF">
            <w:pPr>
              <w:spacing w:line="360" w:lineRule="auto"/>
              <w:contextualSpacing/>
              <w:jc w:val="both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Arial"/>
                <w:kern w:val="24"/>
                <w:lang w:val="es-ES" w:eastAsia="es-CR"/>
              </w:rPr>
            </w:pPr>
            <w:r w:rsidRPr="00326FEF">
              <w:rPr>
                <w:rFonts w:cs="Calibri"/>
              </w:rPr>
              <w:t>Parte del éxito de las actividades lúdicas es dar una buena explicación</w:t>
            </w:r>
            <w:r w:rsidR="00326FEF">
              <w:rPr>
                <w:rFonts w:cs="Calibri"/>
              </w:rPr>
              <w:t xml:space="preserve"> previa</w:t>
            </w:r>
            <w:r w:rsidRPr="00326FEF">
              <w:rPr>
                <w:rFonts w:cs="Calibri"/>
              </w:rPr>
              <w:t xml:space="preserve"> del juego y las reglas que se deben de respetar.</w:t>
            </w:r>
          </w:p>
        </w:tc>
        <w:tc>
          <w:tcPr>
            <w:tcW w:w="1842" w:type="dxa"/>
            <w:vMerge w:val="restart"/>
          </w:tcPr>
          <w:p w:rsidR="001308B4" w:rsidRPr="00326FEF" w:rsidRDefault="00CB5F7C" w:rsidP="001308B4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Arial"/>
                <w:kern w:val="24"/>
                <w:lang w:val="es-ES" w:eastAsia="es-CR"/>
              </w:rPr>
            </w:pPr>
            <w:r>
              <w:rPr>
                <w:rFonts w:eastAsiaTheme="minorEastAsia" w:cs="Arial"/>
                <w:kern w:val="24"/>
                <w:lang w:val="es-ES" w:eastAsia="es-CR"/>
              </w:rPr>
              <w:t>Febrero 2020</w:t>
            </w:r>
          </w:p>
        </w:tc>
      </w:tr>
      <w:bookmarkEnd w:id="0"/>
      <w:tr w:rsidR="001308B4" w:rsidTr="00072CF2">
        <w:trPr>
          <w:trHeight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  <w:vMerge/>
          </w:tcPr>
          <w:p w:rsidR="001308B4" w:rsidRDefault="001308B4" w:rsidP="001308B4">
            <w:pPr>
              <w:spacing w:line="360" w:lineRule="auto"/>
              <w:contextualSpacing/>
              <w:jc w:val="both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  <w:tc>
          <w:tcPr>
            <w:tcW w:w="8457" w:type="dxa"/>
          </w:tcPr>
          <w:p w:rsidR="001308B4" w:rsidRPr="00326FEF" w:rsidRDefault="001308B4" w:rsidP="001308B4">
            <w:pPr>
              <w:spacing w:line="360" w:lineRule="auto"/>
              <w:contextualSpacing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  <w:b/>
                <w:kern w:val="24"/>
                <w:sz w:val="18"/>
                <w:szCs w:val="24"/>
                <w:lang w:val="es-ES" w:eastAsia="es-CR"/>
              </w:rPr>
            </w:pPr>
            <w:r w:rsidRPr="00326FEF">
              <w:rPr>
                <w:rFonts w:eastAsiaTheme="minorEastAsia" w:cs="Arial"/>
                <w:b/>
                <w:kern w:val="24"/>
                <w:sz w:val="24"/>
                <w:szCs w:val="24"/>
                <w:lang w:val="es-ES" w:eastAsia="es-CR"/>
              </w:rPr>
              <w:t xml:space="preserve">Actividad creativa: </w:t>
            </w:r>
            <w:r w:rsidRPr="00326FEF">
              <w:rPr>
                <w:rFonts w:eastAsiaTheme="minorEastAsia" w:cs="Arial"/>
                <w:b/>
                <w:kern w:val="24"/>
                <w:sz w:val="18"/>
                <w:szCs w:val="24"/>
                <w:lang w:val="es-ES" w:eastAsia="es-CR"/>
              </w:rPr>
              <w:t xml:space="preserve"> </w:t>
            </w:r>
          </w:p>
          <w:p w:rsidR="005A6AC9" w:rsidRPr="00326FEF" w:rsidRDefault="005A6AC9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i/>
                <w:color w:val="000000"/>
              </w:rPr>
            </w:pPr>
            <w:r w:rsidRPr="00326FEF">
              <w:rPr>
                <w:rFonts w:cs="Arial"/>
                <w:b/>
                <w:bCs/>
                <w:i/>
                <w:color w:val="000000"/>
              </w:rPr>
              <w:t>RECONOCER CORTEZAS DE LOS ÁRBOLES</w:t>
            </w:r>
          </w:p>
          <w:p w:rsidR="00326FEF" w:rsidRDefault="00326FEF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292526"/>
              </w:rPr>
            </w:pPr>
          </w:p>
          <w:p w:rsidR="005A6AC9" w:rsidRDefault="005A6AC9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Entorno</w:t>
            </w:r>
            <w:r w:rsidR="00326FEF">
              <w:rPr>
                <w:rFonts w:cs="Arial"/>
                <w:color w:val="292526"/>
              </w:rPr>
              <w:t>: Bosque</w:t>
            </w:r>
            <w:r w:rsidR="008E6527">
              <w:rPr>
                <w:rFonts w:cs="Arial"/>
                <w:color w:val="292526"/>
              </w:rPr>
              <w:t xml:space="preserve"> o área verde</w:t>
            </w:r>
          </w:p>
          <w:p w:rsidR="00326FEF" w:rsidRPr="00326FEF" w:rsidRDefault="00326FEF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Default="005A6AC9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Distribución</w:t>
            </w:r>
            <w:r w:rsidR="00326FEF">
              <w:rPr>
                <w:rFonts w:cs="Arial"/>
                <w:color w:val="292526"/>
              </w:rPr>
              <w:t>: Parejas</w:t>
            </w:r>
            <w:r w:rsidR="008E6527">
              <w:rPr>
                <w:rFonts w:cs="Arial"/>
                <w:color w:val="292526"/>
              </w:rPr>
              <w:t xml:space="preserve"> (se adapta a un trío si el número es impar). </w:t>
            </w:r>
          </w:p>
          <w:p w:rsidR="00326FEF" w:rsidRPr="00326FEF" w:rsidRDefault="00326FEF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Default="005A6AC9" w:rsidP="005A6A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Material</w:t>
            </w:r>
            <w:r w:rsidRPr="00326FEF">
              <w:rPr>
                <w:rFonts w:cs="Arial"/>
                <w:color w:val="292526"/>
              </w:rPr>
              <w:t xml:space="preserve">: </w:t>
            </w:r>
            <w:r w:rsidR="00326FEF">
              <w:rPr>
                <w:rFonts w:cs="Arial"/>
                <w:color w:val="292526"/>
              </w:rPr>
              <w:t>Papel fuerte y pinturas de cera</w:t>
            </w:r>
          </w:p>
          <w:p w:rsidR="00326FEF" w:rsidRPr="00326FEF" w:rsidRDefault="00326FEF" w:rsidP="00326FE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Default="005A6AC9" w:rsidP="00326FE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Descripción</w:t>
            </w:r>
            <w:r w:rsidR="00326FEF">
              <w:rPr>
                <w:rFonts w:cs="Arial"/>
                <w:color w:val="292526"/>
              </w:rPr>
              <w:t>: Una persona</w:t>
            </w:r>
            <w:r w:rsidRPr="00326FEF">
              <w:rPr>
                <w:rFonts w:cs="Arial"/>
                <w:color w:val="292526"/>
              </w:rPr>
              <w:t xml:space="preserve"> de cada pareja escoge, en secreto, un árbol, al que le saca una “huella” de su corteza. Para ello sostiene el papel apoyado</w:t>
            </w:r>
            <w:r w:rsidR="00326FEF">
              <w:rPr>
                <w:rFonts w:cs="Arial"/>
                <w:color w:val="292526"/>
              </w:rPr>
              <w:t>,</w:t>
            </w:r>
            <w:r w:rsidRPr="00326FEF">
              <w:rPr>
                <w:rFonts w:cs="Arial"/>
                <w:color w:val="292526"/>
              </w:rPr>
              <w:t xml:space="preserve"> sobre </w:t>
            </w:r>
            <w:r w:rsidR="00326FEF">
              <w:rPr>
                <w:rFonts w:cs="Arial"/>
                <w:color w:val="292526"/>
              </w:rPr>
              <w:t>esta</w:t>
            </w:r>
            <w:r w:rsidRPr="00326FEF">
              <w:rPr>
                <w:rFonts w:cs="Arial"/>
                <w:color w:val="292526"/>
              </w:rPr>
              <w:t xml:space="preserve"> </w:t>
            </w:r>
            <w:r w:rsidR="00326FEF">
              <w:rPr>
                <w:rFonts w:cs="Arial"/>
                <w:color w:val="292526"/>
              </w:rPr>
              <w:t>y sin moverlo. F</w:t>
            </w:r>
            <w:r w:rsidRPr="00326FEF">
              <w:rPr>
                <w:rFonts w:cs="Arial"/>
                <w:color w:val="292526"/>
              </w:rPr>
              <w:t>rota</w:t>
            </w:r>
            <w:r w:rsidR="00326FEF">
              <w:rPr>
                <w:rFonts w:cs="Arial"/>
                <w:color w:val="292526"/>
              </w:rPr>
              <w:t>,</w:t>
            </w:r>
            <w:r w:rsidRPr="00326FEF">
              <w:rPr>
                <w:rFonts w:cs="Arial"/>
                <w:color w:val="292526"/>
              </w:rPr>
              <w:t xml:space="preserve"> con el canto del lápiz de cera por </w:t>
            </w:r>
            <w:r w:rsidR="00326FEF">
              <w:rPr>
                <w:rFonts w:cs="Arial"/>
                <w:color w:val="292526"/>
              </w:rPr>
              <w:t>todo e</w:t>
            </w:r>
            <w:r w:rsidRPr="00326FEF">
              <w:rPr>
                <w:rFonts w:cs="Arial"/>
                <w:color w:val="292526"/>
              </w:rPr>
              <w:t>l</w:t>
            </w:r>
            <w:r w:rsidR="00326FEF">
              <w:rPr>
                <w:rFonts w:cs="Arial"/>
                <w:color w:val="292526"/>
              </w:rPr>
              <w:t xml:space="preserve"> material</w:t>
            </w:r>
            <w:r w:rsidRPr="00326FEF">
              <w:rPr>
                <w:rFonts w:cs="Arial"/>
                <w:color w:val="292526"/>
              </w:rPr>
              <w:t>, de forma que se queden marcados los relieves característicos</w:t>
            </w:r>
            <w:r w:rsidR="00326FEF">
              <w:rPr>
                <w:rFonts w:cs="Arial"/>
                <w:color w:val="292526"/>
              </w:rPr>
              <w:t xml:space="preserve"> </w:t>
            </w:r>
            <w:r w:rsidRPr="00326FEF">
              <w:rPr>
                <w:rFonts w:cs="Arial"/>
                <w:color w:val="292526"/>
              </w:rPr>
              <w:t>(determinar antes a qué altura aproximada s</w:t>
            </w:r>
            <w:r w:rsidR="00326FEF">
              <w:rPr>
                <w:rFonts w:cs="Arial"/>
                <w:color w:val="292526"/>
              </w:rPr>
              <w:t>e sacarán toda</w:t>
            </w:r>
            <w:r w:rsidRPr="00326FEF">
              <w:rPr>
                <w:rFonts w:cs="Arial"/>
                <w:color w:val="292526"/>
              </w:rPr>
              <w:t xml:space="preserve">s </w:t>
            </w:r>
            <w:r w:rsidR="00F423BE">
              <w:rPr>
                <w:rFonts w:cs="Arial"/>
                <w:color w:val="292526"/>
              </w:rPr>
              <w:t>“</w:t>
            </w:r>
            <w:r w:rsidRPr="00326FEF">
              <w:rPr>
                <w:rFonts w:cs="Arial"/>
                <w:color w:val="292526"/>
              </w:rPr>
              <w:t>las huellas</w:t>
            </w:r>
            <w:r w:rsidR="00F423BE">
              <w:rPr>
                <w:rFonts w:cs="Arial"/>
                <w:color w:val="292526"/>
              </w:rPr>
              <w:t>”</w:t>
            </w:r>
            <w:r w:rsidRPr="00326FEF">
              <w:rPr>
                <w:rFonts w:cs="Arial"/>
                <w:color w:val="292526"/>
              </w:rPr>
              <w:t>).</w:t>
            </w:r>
          </w:p>
          <w:p w:rsidR="00326FEF" w:rsidRPr="00326FEF" w:rsidRDefault="00326FEF" w:rsidP="00326FE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Pr="008E6527" w:rsidRDefault="00326FEF" w:rsidP="008E652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>
              <w:rPr>
                <w:rFonts w:cs="Arial"/>
                <w:color w:val="292526"/>
              </w:rPr>
              <w:t>Si fuese</w:t>
            </w:r>
            <w:r w:rsidR="005A6AC9" w:rsidRPr="00326FEF">
              <w:rPr>
                <w:rFonts w:cs="Arial"/>
                <w:color w:val="292526"/>
              </w:rPr>
              <w:t xml:space="preserve"> difícil sostener el papel mientras </w:t>
            </w:r>
            <w:r>
              <w:rPr>
                <w:rFonts w:cs="Arial"/>
                <w:color w:val="292526"/>
              </w:rPr>
              <w:t>se dibuja</w:t>
            </w:r>
            <w:r w:rsidR="005A6AC9" w:rsidRPr="00326FEF">
              <w:rPr>
                <w:rFonts w:cs="Arial"/>
                <w:color w:val="292526"/>
              </w:rPr>
              <w:t>, se puede pedir la ayuda de un</w:t>
            </w:r>
            <w:r>
              <w:rPr>
                <w:rFonts w:cs="Arial"/>
                <w:color w:val="292526"/>
              </w:rPr>
              <w:t>/una</w:t>
            </w:r>
            <w:r w:rsidR="005A6AC9" w:rsidRPr="00326FEF">
              <w:rPr>
                <w:rFonts w:cs="Arial"/>
                <w:color w:val="292526"/>
              </w:rPr>
              <w:t xml:space="preserve"> compañero</w:t>
            </w:r>
            <w:r w:rsidRPr="00326FEF">
              <w:rPr>
                <w:rFonts w:cs="Arial"/>
                <w:color w:val="292526"/>
              </w:rPr>
              <w:t xml:space="preserve">/a, al que </w:t>
            </w:r>
            <w:r w:rsidR="005A6AC9" w:rsidRPr="00326FEF">
              <w:rPr>
                <w:rFonts w:cs="Arial"/>
                <w:color w:val="292526"/>
              </w:rPr>
              <w:t xml:space="preserve"> después </w:t>
            </w:r>
            <w:r w:rsidRPr="00326FEF">
              <w:rPr>
                <w:rFonts w:cs="Arial"/>
                <w:color w:val="292526"/>
              </w:rPr>
              <w:t>también se le ayudará</w:t>
            </w:r>
            <w:r w:rsidR="005A6AC9" w:rsidRPr="00326FEF">
              <w:rPr>
                <w:rFonts w:cs="Arial"/>
                <w:color w:val="292526"/>
              </w:rPr>
              <w:t>. Más tarde se entrega el pape</w:t>
            </w:r>
            <w:r w:rsidR="008B6CC4">
              <w:rPr>
                <w:rFonts w:cs="Arial"/>
                <w:color w:val="292526"/>
              </w:rPr>
              <w:t xml:space="preserve">l, con la huella dibujada, </w:t>
            </w:r>
            <w:r w:rsidR="005A6AC9" w:rsidRPr="00326FEF">
              <w:rPr>
                <w:rFonts w:cs="Arial"/>
                <w:color w:val="292526"/>
              </w:rPr>
              <w:t xml:space="preserve">al otro miembro de la </w:t>
            </w:r>
            <w:r w:rsidR="008B6CC4">
              <w:rPr>
                <w:rFonts w:cs="Arial"/>
                <w:color w:val="292526"/>
              </w:rPr>
              <w:t>pareja. Esta persona</w:t>
            </w:r>
            <w:r w:rsidR="005A6AC9" w:rsidRPr="00326FEF">
              <w:rPr>
                <w:rFonts w:cs="Arial"/>
                <w:color w:val="292526"/>
              </w:rPr>
              <w:t xml:space="preserve"> debe descubrir </w:t>
            </w:r>
            <w:r w:rsidR="008B6CC4">
              <w:rPr>
                <w:rFonts w:cs="Arial"/>
                <w:color w:val="292526"/>
              </w:rPr>
              <w:t>cuál</w:t>
            </w:r>
            <w:r w:rsidR="005A6AC9" w:rsidRPr="00326FEF">
              <w:rPr>
                <w:rFonts w:cs="Arial"/>
                <w:color w:val="292526"/>
              </w:rPr>
              <w:t xml:space="preserve"> árbol fue el que se calcó. Después se</w:t>
            </w:r>
            <w:r>
              <w:rPr>
                <w:rFonts w:cs="Arial"/>
                <w:color w:val="292526"/>
              </w:rPr>
              <w:t xml:space="preserve"> </w:t>
            </w:r>
            <w:r w:rsidR="008B6CC4">
              <w:rPr>
                <w:rFonts w:cs="Arial"/>
                <w:color w:val="292526"/>
              </w:rPr>
              <w:t>intercambian los papeles. Se delimita</w:t>
            </w:r>
            <w:r w:rsidR="005A6AC9" w:rsidRPr="00326FEF">
              <w:rPr>
                <w:rFonts w:cs="Arial"/>
                <w:color w:val="292526"/>
              </w:rPr>
              <w:t xml:space="preserve"> la zona de arboleda en la que </w:t>
            </w:r>
            <w:r w:rsidR="008B6CC4">
              <w:rPr>
                <w:rFonts w:cs="Arial"/>
                <w:color w:val="292526"/>
              </w:rPr>
              <w:t>se jugará</w:t>
            </w:r>
            <w:r w:rsidR="005A6AC9" w:rsidRPr="00326FEF">
              <w:rPr>
                <w:rFonts w:cs="Arial"/>
                <w:color w:val="292526"/>
              </w:rPr>
              <w:t xml:space="preserve">. </w:t>
            </w:r>
          </w:p>
          <w:p w:rsidR="00582EED" w:rsidRDefault="00582EED" w:rsidP="00582EED">
            <w:pPr>
              <w:spacing w:line="360" w:lineRule="auto"/>
              <w:contextualSpacing/>
              <w:jc w:val="center"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582EED" w:rsidRPr="00582EED" w:rsidRDefault="00582EED" w:rsidP="00582EED">
            <w:pPr>
              <w:spacing w:line="360" w:lineRule="auto"/>
              <w:contextualSpacing/>
              <w:jc w:val="center"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  <w:kern w:val="24"/>
                <w:sz w:val="18"/>
                <w:szCs w:val="18"/>
                <w:lang w:val="es-ES" w:eastAsia="es-CR"/>
              </w:rPr>
            </w:pPr>
          </w:p>
        </w:tc>
        <w:tc>
          <w:tcPr>
            <w:tcW w:w="1842" w:type="dxa"/>
            <w:vMerge/>
          </w:tcPr>
          <w:p w:rsidR="001308B4" w:rsidRDefault="001308B4" w:rsidP="001308B4">
            <w:pPr>
              <w:spacing w:line="360" w:lineRule="auto"/>
              <w:contextualSpacing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</w:tr>
      <w:tr w:rsidR="001308B4" w:rsidTr="007A0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  <w:vMerge/>
          </w:tcPr>
          <w:p w:rsidR="001308B4" w:rsidRDefault="001308B4" w:rsidP="001308B4">
            <w:pPr>
              <w:spacing w:line="360" w:lineRule="auto"/>
              <w:contextualSpacing/>
              <w:jc w:val="both"/>
              <w:textAlignment w:val="top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  <w:tc>
          <w:tcPr>
            <w:tcW w:w="8457" w:type="dxa"/>
          </w:tcPr>
          <w:p w:rsidR="007A02B0" w:rsidRPr="000A1E4D" w:rsidRDefault="001308B4" w:rsidP="00072CF2">
            <w:pPr>
              <w:spacing w:line="360" w:lineRule="auto"/>
              <w:contextualSpacing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Arial"/>
                <w:b/>
                <w:kern w:val="24"/>
                <w:sz w:val="24"/>
                <w:szCs w:val="24"/>
                <w:lang w:val="es-ES" w:eastAsia="es-CR"/>
              </w:rPr>
            </w:pPr>
            <w:r w:rsidRPr="000A1E4D">
              <w:rPr>
                <w:rFonts w:eastAsiaTheme="minorEastAsia" w:cs="Arial"/>
                <w:b/>
                <w:kern w:val="24"/>
                <w:sz w:val="24"/>
                <w:szCs w:val="24"/>
                <w:lang w:val="es-ES" w:eastAsia="es-CR"/>
              </w:rPr>
              <w:t>Socialización:</w:t>
            </w:r>
          </w:p>
          <w:p w:rsidR="00582EED" w:rsidRDefault="00582EED" w:rsidP="005A6A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 w:rsidRPr="00326FEF">
              <w:rPr>
                <w:rFonts w:cs="Arial"/>
                <w:b/>
                <w:bCs/>
                <w:color w:val="292526"/>
              </w:rPr>
              <w:t>HABLAR SOBRE</w:t>
            </w:r>
            <w:r>
              <w:rPr>
                <w:rFonts w:cs="Arial"/>
                <w:b/>
                <w:bCs/>
                <w:color w:val="292526"/>
              </w:rPr>
              <w:t>…</w:t>
            </w:r>
            <w:r w:rsidRPr="00326FEF">
              <w:rPr>
                <w:rFonts w:cs="Arial"/>
                <w:color w:val="292526"/>
              </w:rPr>
              <w:t xml:space="preserve"> </w:t>
            </w:r>
          </w:p>
          <w:p w:rsidR="00582EED" w:rsidRDefault="00582EED" w:rsidP="005A6A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Default="008B6CC4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>
              <w:rPr>
                <w:rFonts w:cs="Arial"/>
                <w:color w:val="292526"/>
              </w:rPr>
              <w:t>Se comenta acerca de l</w:t>
            </w:r>
            <w:r w:rsidR="005A6AC9" w:rsidRPr="00326FEF">
              <w:rPr>
                <w:rFonts w:cs="Arial"/>
                <w:color w:val="292526"/>
              </w:rPr>
              <w:t>a función de la corteza de los árbo</w:t>
            </w:r>
            <w:r w:rsidR="00F423BE">
              <w:rPr>
                <w:rFonts w:cs="Arial"/>
                <w:color w:val="292526"/>
              </w:rPr>
              <w:t>les a partir de interrogante</w:t>
            </w:r>
            <w:r w:rsidR="000A1E4D">
              <w:rPr>
                <w:rFonts w:cs="Arial"/>
                <w:color w:val="292526"/>
              </w:rPr>
              <w:t>s</w:t>
            </w:r>
            <w:r w:rsidR="00F423BE">
              <w:rPr>
                <w:rFonts w:cs="Arial"/>
                <w:color w:val="292526"/>
              </w:rPr>
              <w:t xml:space="preserve"> como: </w:t>
            </w:r>
            <w:r w:rsidR="000A1E4D">
              <w:rPr>
                <w:rFonts w:cs="Arial"/>
                <w:color w:val="292526"/>
              </w:rPr>
              <w:t>¿les hacemos</w:t>
            </w:r>
            <w:r w:rsidR="005A6AC9" w:rsidRPr="00326FEF">
              <w:rPr>
                <w:rFonts w:cs="Arial"/>
                <w:color w:val="292526"/>
              </w:rPr>
              <w:t xml:space="preserve"> daño si </w:t>
            </w:r>
            <w:r w:rsidR="000A1E4D">
              <w:rPr>
                <w:rFonts w:cs="Arial"/>
                <w:color w:val="292526"/>
              </w:rPr>
              <w:t>les hacemos orificios o grabamos letras o figuras en ellos</w:t>
            </w:r>
            <w:r w:rsidRPr="00326FEF">
              <w:rPr>
                <w:rFonts w:cs="Arial"/>
                <w:color w:val="292526"/>
              </w:rPr>
              <w:t>?</w:t>
            </w:r>
            <w:r w:rsidR="000A1E4D">
              <w:rPr>
                <w:rFonts w:cs="Arial"/>
                <w:color w:val="292526"/>
              </w:rPr>
              <w:t xml:space="preserve"> Se recogen las opiniones y se destaca que no deben dañarse pues los árboles son seres vivos. Además, s</w:t>
            </w:r>
            <w:r>
              <w:rPr>
                <w:rFonts w:cs="Arial"/>
                <w:color w:val="292526"/>
              </w:rPr>
              <w:t>e observa</w:t>
            </w:r>
            <w:r w:rsidR="005A6AC9" w:rsidRPr="00326FEF">
              <w:rPr>
                <w:rFonts w:cs="Arial"/>
                <w:color w:val="292526"/>
              </w:rPr>
              <w:t xml:space="preserve"> la variedad de vida que puede existir en </w:t>
            </w:r>
            <w:r w:rsidR="000A1E4D">
              <w:rPr>
                <w:rFonts w:cs="Arial"/>
                <w:color w:val="292526"/>
              </w:rPr>
              <w:t>estas criaturas</w:t>
            </w:r>
            <w:r w:rsidR="005A6AC9" w:rsidRPr="00326FEF">
              <w:rPr>
                <w:rFonts w:cs="Arial"/>
                <w:color w:val="292526"/>
              </w:rPr>
              <w:t xml:space="preserve"> (</w:t>
            </w:r>
            <w:r w:rsidR="00F423BE">
              <w:rPr>
                <w:rFonts w:cs="Arial"/>
                <w:color w:val="292526"/>
              </w:rPr>
              <w:t xml:space="preserve">por ejemplo: </w:t>
            </w:r>
            <w:r w:rsidR="005A6AC9" w:rsidRPr="00326FEF">
              <w:rPr>
                <w:rFonts w:cs="Arial"/>
                <w:color w:val="292526"/>
              </w:rPr>
              <w:t>insectos, agallas, musgos,</w:t>
            </w:r>
            <w:r w:rsidR="00F423BE">
              <w:rPr>
                <w:rFonts w:cs="Arial"/>
                <w:color w:val="292526"/>
              </w:rPr>
              <w:t xml:space="preserve"> entre otros</w:t>
            </w:r>
            <w:r w:rsidR="005A6AC9" w:rsidRPr="00326FEF">
              <w:rPr>
                <w:rFonts w:cs="Arial"/>
                <w:color w:val="292526"/>
              </w:rPr>
              <w:t xml:space="preserve">...)”. </w:t>
            </w:r>
          </w:p>
          <w:p w:rsidR="00582EED" w:rsidRDefault="00582EED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82EED" w:rsidRDefault="00582EED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>
              <w:rPr>
                <w:rFonts w:cs="Arial"/>
                <w:color w:val="292526"/>
              </w:rPr>
              <w:t>Finalmente</w:t>
            </w:r>
            <w:r w:rsidR="006D7188">
              <w:rPr>
                <w:rFonts w:cs="Arial"/>
                <w:color w:val="292526"/>
              </w:rPr>
              <w:t>, se les ofrece una caricatura con el fin de</w:t>
            </w:r>
            <w:r>
              <w:rPr>
                <w:rFonts w:cs="Arial"/>
                <w:color w:val="292526"/>
              </w:rPr>
              <w:t xml:space="preserve"> que deduzcan</w:t>
            </w:r>
            <w:r w:rsidR="006D7188">
              <w:rPr>
                <w:rFonts w:cs="Arial"/>
                <w:color w:val="292526"/>
              </w:rPr>
              <w:t xml:space="preserve"> qué están dialogando los dos personajes</w:t>
            </w:r>
            <w:r>
              <w:rPr>
                <w:rFonts w:cs="Arial"/>
                <w:color w:val="292526"/>
              </w:rPr>
              <w:t>:</w:t>
            </w:r>
          </w:p>
          <w:p w:rsidR="00582EED" w:rsidRDefault="00582EED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82EED" w:rsidRDefault="00582EED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rPr>
                <w:rFonts w:ascii="Arial" w:hAnsi="Arial" w:cs="Arial"/>
                <w:noProof/>
                <w:color w:val="FFFFFF"/>
                <w:sz w:val="20"/>
                <w:szCs w:val="20"/>
                <w:lang w:eastAsia="es-CR"/>
              </w:rPr>
              <w:lastRenderedPageBreak/>
              <w:drawing>
                <wp:inline distT="0" distB="0" distL="0" distR="0" wp14:anchorId="78F365ED" wp14:editId="2C9A26EA">
                  <wp:extent cx="2388485" cy="3090123"/>
                  <wp:effectExtent l="0" t="0" r="0" b="0"/>
                  <wp:docPr id="2" name="Imagen 2" descr="Ver las imágenes de ori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 las imágenes de ori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614" cy="3104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2EED" w:rsidRDefault="00582EED" w:rsidP="00582EED">
            <w:pPr>
              <w:spacing w:line="360" w:lineRule="auto"/>
              <w:contextualSpacing/>
              <w:jc w:val="center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82EED">
              <w:rPr>
                <w:rFonts w:eastAsiaTheme="minorEastAsia" w:cs="Arial"/>
                <w:kern w:val="24"/>
                <w:sz w:val="18"/>
                <w:szCs w:val="18"/>
                <w:lang w:val="es-ES" w:eastAsia="es-CR"/>
              </w:rPr>
              <w:t xml:space="preserve">Fuente: </w:t>
            </w:r>
            <w:r w:rsidRPr="00582EED">
              <w:rPr>
                <w:sz w:val="18"/>
                <w:szCs w:val="18"/>
              </w:rPr>
              <w:t xml:space="preserve">  </w:t>
            </w:r>
            <w:hyperlink r:id="rId8" w:history="1">
              <w:r w:rsidRPr="00F06D1A">
                <w:rPr>
                  <w:rStyle w:val="Hipervnculo"/>
                  <w:sz w:val="18"/>
                  <w:szCs w:val="18"/>
                </w:rPr>
                <w:t>http://www.dibujalia.com/dibujos-la-naturaleza-comparte-5128.htm</w:t>
              </w:r>
            </w:hyperlink>
          </w:p>
          <w:p w:rsidR="00582EED" w:rsidRDefault="00582EED" w:rsidP="005A6AC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82EED" w:rsidRDefault="00582EED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>
              <w:rPr>
                <w:rFonts w:cs="Arial"/>
                <w:color w:val="292526"/>
              </w:rPr>
              <w:t>Se recogen las apreciaciones y comentarios generados y se hace énfasis en la importancia de amar y conservar la naturaleza.</w:t>
            </w:r>
          </w:p>
          <w:p w:rsidR="00552876" w:rsidRDefault="00552876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52876" w:rsidRDefault="00552876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  <w:r>
              <w:rPr>
                <w:rFonts w:cs="Arial"/>
                <w:color w:val="292526"/>
              </w:rPr>
              <w:t>Como cierre, se les pide elaborar una caricatura de ellos manteniendo una conversación con el árbol con el que realizaron la actividad.</w:t>
            </w:r>
          </w:p>
          <w:p w:rsidR="006D7188" w:rsidRDefault="006D7188" w:rsidP="00582EE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292526"/>
              </w:rPr>
            </w:pPr>
          </w:p>
          <w:p w:rsidR="005A6AC9" w:rsidRDefault="005A6AC9" w:rsidP="005A6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92526"/>
              </w:rPr>
            </w:pPr>
          </w:p>
          <w:p w:rsidR="005A6AC9" w:rsidRPr="00582EED" w:rsidRDefault="005A6AC9" w:rsidP="005A6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92526"/>
              </w:rPr>
            </w:pPr>
            <w:r w:rsidRPr="00582EED">
              <w:rPr>
                <w:rFonts w:ascii="Arial" w:hAnsi="Arial" w:cs="Arial"/>
                <w:b/>
                <w:color w:val="292526"/>
              </w:rPr>
              <w:t>Bibliografía:</w:t>
            </w:r>
          </w:p>
          <w:p w:rsidR="005A6AC9" w:rsidRDefault="005A6AC9" w:rsidP="005A6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92526"/>
              </w:rPr>
            </w:pPr>
          </w:p>
          <w:p w:rsidR="005A6AC9" w:rsidRDefault="006D7188" w:rsidP="00326FEF">
            <w:pPr>
              <w:spacing w:line="360" w:lineRule="auto"/>
              <w:contextualSpacing/>
              <w:jc w:val="both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  <w:r>
              <w:t>Rodríguez, L. (1</w:t>
            </w:r>
            <w:r w:rsidR="005A6AC9">
              <w:t xml:space="preserve">987). </w:t>
            </w:r>
            <w:r w:rsidR="005A6AC9" w:rsidRPr="00326FEF">
              <w:rPr>
                <w:rFonts w:cs="Arial"/>
                <w:i/>
              </w:rPr>
              <w:t>Juegos en la naturaleza</w:t>
            </w:r>
            <w:r w:rsidR="005A6AC9">
              <w:rPr>
                <w:rFonts w:cs="Arial"/>
              </w:rPr>
              <w:t xml:space="preserve">. </w:t>
            </w:r>
            <w:r w:rsidR="00326FEF">
              <w:rPr>
                <w:rFonts w:cs="Arial"/>
              </w:rPr>
              <w:t>Cádiz</w:t>
            </w:r>
            <w:r w:rsidR="005A6AC9">
              <w:rPr>
                <w:rFonts w:cs="Arial"/>
              </w:rPr>
              <w:t>: Servicio de medio ambiente y diputación de Cádiz.</w:t>
            </w:r>
          </w:p>
        </w:tc>
        <w:tc>
          <w:tcPr>
            <w:tcW w:w="1842" w:type="dxa"/>
            <w:vMerge/>
          </w:tcPr>
          <w:p w:rsidR="001308B4" w:rsidRDefault="001308B4" w:rsidP="001308B4">
            <w:pPr>
              <w:spacing w:line="360" w:lineRule="auto"/>
              <w:contextualSpacing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kern w:val="24"/>
                <w:sz w:val="24"/>
                <w:szCs w:val="24"/>
                <w:lang w:val="es-ES" w:eastAsia="es-CR"/>
              </w:rPr>
            </w:pPr>
          </w:p>
        </w:tc>
      </w:tr>
    </w:tbl>
    <w:p w:rsidR="008849D4" w:rsidRPr="008849D4" w:rsidRDefault="008849D4" w:rsidP="008849D4"/>
    <w:p w:rsidR="008849D4" w:rsidRPr="004B7522" w:rsidRDefault="008849D4" w:rsidP="004B7522">
      <w:pPr>
        <w:rPr>
          <w:rFonts w:ascii="Albertus Extra Bold" w:hAnsi="Albertus Extra Bold"/>
        </w:rPr>
      </w:pPr>
      <w:r w:rsidRPr="004B7522">
        <w:rPr>
          <w:rFonts w:ascii="Albertus Extra Bold" w:hAnsi="Albertus Extra Bold"/>
        </w:rPr>
        <w:t xml:space="preserve">Observaciones: </w:t>
      </w:r>
      <w:r w:rsidR="004B7522">
        <w:rPr>
          <w:rFonts w:ascii="Albertus Extra Bold" w:hAnsi="Albertus Extra Bol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A35FE">
        <w:rPr>
          <w:rFonts w:ascii="Albertus Extra Bold" w:hAnsi="Albertus Extra Bold"/>
        </w:rPr>
        <w:t>_________________</w:t>
      </w:r>
      <w:r w:rsidR="005A6AC9">
        <w:rPr>
          <w:rFonts w:ascii="Albertus Extra Bold" w:hAnsi="Albertus Extra Bold"/>
        </w:rPr>
        <w:t>________________________________________________________________________________________</w:t>
      </w:r>
      <w:r w:rsidR="009A35FE">
        <w:rPr>
          <w:rFonts w:ascii="Albertus Extra Bold" w:hAnsi="Albertus Extra Bold"/>
        </w:rPr>
        <w:t>_____________</w:t>
      </w:r>
    </w:p>
    <w:p w:rsidR="008849D4" w:rsidRPr="004B7522" w:rsidRDefault="008849D4" w:rsidP="004B7522">
      <w:pPr>
        <w:rPr>
          <w:rFonts w:ascii="Albertus Extra Bold" w:hAnsi="Albertus Extra Bold"/>
        </w:rPr>
      </w:pPr>
    </w:p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8849D4" w:rsidRPr="008849D4" w:rsidRDefault="008849D4" w:rsidP="008849D4"/>
    <w:p w:rsidR="009D5C74" w:rsidRPr="008849D4" w:rsidRDefault="009D5C74" w:rsidP="008849D4"/>
    <w:sectPr w:rsidR="009D5C74" w:rsidRPr="008849D4" w:rsidSect="00AF7CB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8B6" w:rsidRDefault="00CA08B6" w:rsidP="009D5C74">
      <w:pPr>
        <w:spacing w:after="0" w:line="240" w:lineRule="auto"/>
      </w:pPr>
      <w:r>
        <w:separator/>
      </w:r>
    </w:p>
  </w:endnote>
  <w:endnote w:type="continuationSeparator" w:id="0">
    <w:p w:rsidR="00CA08B6" w:rsidRDefault="00CA08B6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8B6" w:rsidRDefault="00CA08B6" w:rsidP="009D5C74">
      <w:pPr>
        <w:spacing w:after="0" w:line="240" w:lineRule="auto"/>
      </w:pPr>
      <w:r>
        <w:separator/>
      </w:r>
    </w:p>
  </w:footnote>
  <w:footnote w:type="continuationSeparator" w:id="0">
    <w:p w:rsidR="00CA08B6" w:rsidRDefault="00CA08B6" w:rsidP="009D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05"/>
    <w:rsid w:val="00026729"/>
    <w:rsid w:val="00062CFF"/>
    <w:rsid w:val="00072CF2"/>
    <w:rsid w:val="000A1E4D"/>
    <w:rsid w:val="000C1E79"/>
    <w:rsid w:val="000F4EF0"/>
    <w:rsid w:val="001308B4"/>
    <w:rsid w:val="001C7261"/>
    <w:rsid w:val="0020757D"/>
    <w:rsid w:val="00321C77"/>
    <w:rsid w:val="00326FEF"/>
    <w:rsid w:val="00362116"/>
    <w:rsid w:val="00371A05"/>
    <w:rsid w:val="0043288E"/>
    <w:rsid w:val="004B7522"/>
    <w:rsid w:val="004C6887"/>
    <w:rsid w:val="004E25C8"/>
    <w:rsid w:val="0052758D"/>
    <w:rsid w:val="00552876"/>
    <w:rsid w:val="005648AC"/>
    <w:rsid w:val="005669D2"/>
    <w:rsid w:val="00571626"/>
    <w:rsid w:val="0058023F"/>
    <w:rsid w:val="00582EED"/>
    <w:rsid w:val="005A6AC9"/>
    <w:rsid w:val="00681B2C"/>
    <w:rsid w:val="006D7188"/>
    <w:rsid w:val="006E3522"/>
    <w:rsid w:val="007A02B0"/>
    <w:rsid w:val="007D71DB"/>
    <w:rsid w:val="008849D4"/>
    <w:rsid w:val="008B6CC4"/>
    <w:rsid w:val="008E6527"/>
    <w:rsid w:val="00917B6E"/>
    <w:rsid w:val="0094088F"/>
    <w:rsid w:val="009A35FE"/>
    <w:rsid w:val="009D5C74"/>
    <w:rsid w:val="00A97676"/>
    <w:rsid w:val="00AF7CB3"/>
    <w:rsid w:val="00BD07B9"/>
    <w:rsid w:val="00BE0984"/>
    <w:rsid w:val="00CA08B6"/>
    <w:rsid w:val="00CB5F7C"/>
    <w:rsid w:val="00D64256"/>
    <w:rsid w:val="00D705DF"/>
    <w:rsid w:val="00DE45DC"/>
    <w:rsid w:val="00E279B9"/>
    <w:rsid w:val="00EF1036"/>
    <w:rsid w:val="00F423BE"/>
    <w:rsid w:val="00F7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BAEE-E1A4-42E3-A6F2-BA48428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styleId="Tabladecuadrcula1clara-nfasis6">
    <w:name w:val="Grid Table 1 Light Accent 6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5">
    <w:name w:val="List Table 4 Accent 5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link w:val="SinespaciadoCar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decuadrcula6concolores-nfasis1">
    <w:name w:val="Grid Table 6 Colorful Accent 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styleId="Tabladecuadrcula4">
    <w:name w:val="Grid Table 4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4">
    <w:name w:val="Grid Table 4 Accent 4"/>
    <w:basedOn w:val="Tablanormal"/>
    <w:uiPriority w:val="49"/>
    <w:rsid w:val="007A02B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normal1">
    <w:name w:val="Plain Table 1"/>
    <w:basedOn w:val="Tablanormal"/>
    <w:uiPriority w:val="41"/>
    <w:rsid w:val="004328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SinespaciadoCar">
    <w:name w:val="Sin espaciado Car"/>
    <w:link w:val="Sinespaciado"/>
    <w:uiPriority w:val="1"/>
    <w:locked/>
    <w:rsid w:val="00BE0984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bujalia.com/dibujos-la-naturaleza-comparte-5128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668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4</cp:revision>
  <dcterms:created xsi:type="dcterms:W3CDTF">2019-12-17T19:33:00Z</dcterms:created>
  <dcterms:modified xsi:type="dcterms:W3CDTF">2019-12-18T17:05:00Z</dcterms:modified>
</cp:coreProperties>
</file>