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5E" w:rsidRDefault="0071045E" w:rsidP="00A5728A">
      <w:pPr>
        <w:pStyle w:val="Ttulo"/>
        <w:rPr>
          <w:b/>
          <w:sz w:val="36"/>
        </w:rPr>
      </w:pPr>
    </w:p>
    <w:p w:rsidR="00A5728A" w:rsidRDefault="00BE1487" w:rsidP="002E12FF">
      <w:pPr>
        <w:pStyle w:val="Ttulo"/>
        <w:jc w:val="center"/>
        <w:rPr>
          <w:rFonts w:ascii="Arial" w:hAnsi="Arial" w:cs="Arial"/>
          <w:b/>
          <w:sz w:val="36"/>
        </w:rPr>
      </w:pPr>
      <w:r w:rsidRPr="00BE1487">
        <w:rPr>
          <w:rFonts w:ascii="Arial" w:hAnsi="Arial" w:cs="Arial"/>
          <w:b/>
          <w:sz w:val="36"/>
        </w:rPr>
        <w:t>Guías d</w:t>
      </w:r>
      <w:r>
        <w:rPr>
          <w:rFonts w:ascii="Arial" w:hAnsi="Arial" w:cs="Arial"/>
          <w:b/>
          <w:sz w:val="36"/>
        </w:rPr>
        <w:t>e Trabajo Autónomo</w:t>
      </w:r>
      <w:r w:rsidR="00277C42">
        <w:rPr>
          <w:rFonts w:ascii="Arial" w:hAnsi="Arial" w:cs="Arial"/>
          <w:b/>
          <w:sz w:val="36"/>
        </w:rPr>
        <w:t xml:space="preserve"> </w:t>
      </w:r>
    </w:p>
    <w:p w:rsidR="006C43FB" w:rsidRDefault="006C43FB" w:rsidP="006C43FB"/>
    <w:p w:rsidR="00F9370C" w:rsidRPr="006C43FB" w:rsidRDefault="00BA3990" w:rsidP="006C43FB">
      <w:r>
        <w:t xml:space="preserve">Empezamos a desarrollar </w:t>
      </w:r>
      <w:r w:rsidR="006C43FB">
        <w:t xml:space="preserve">aprendizajes esperados nuevos </w:t>
      </w:r>
    </w:p>
    <w:tbl>
      <w:tblPr>
        <w:tblStyle w:val="Tablaconcuadrcula"/>
        <w:tblW w:w="13467" w:type="dxa"/>
        <w:tblInd w:w="-289" w:type="dxa"/>
        <w:tblLook w:val="04A0"/>
      </w:tblPr>
      <w:tblGrid>
        <w:gridCol w:w="1595"/>
        <w:gridCol w:w="11872"/>
      </w:tblGrid>
      <w:tr w:rsidR="006C43FB" w:rsidRPr="00782EB8" w:rsidTr="00BA3990">
        <w:trPr>
          <w:gridAfter w:val="1"/>
          <w:wAfter w:w="11872" w:type="dxa"/>
        </w:trPr>
        <w:tc>
          <w:tcPr>
            <w:tcW w:w="1595" w:type="dxa"/>
            <w:shd w:val="clear" w:color="auto" w:fill="auto"/>
          </w:tcPr>
          <w:p w:rsidR="006C43FB" w:rsidRPr="00782EB8" w:rsidRDefault="006C43FB" w:rsidP="006C43FB">
            <w:pPr>
              <w:rPr>
                <w:rFonts w:ascii="Arial" w:hAnsi="Arial" w:cs="Arial"/>
                <w:b/>
                <w:sz w:val="28"/>
                <w:szCs w:val="20"/>
              </w:rPr>
            </w:pPr>
          </w:p>
        </w:tc>
      </w:tr>
      <w:tr w:rsidR="006C43FB" w:rsidRPr="00782EB8" w:rsidTr="006C43FB">
        <w:tc>
          <w:tcPr>
            <w:tcW w:w="13467" w:type="dxa"/>
            <w:gridSpan w:val="2"/>
          </w:tcPr>
          <w:p w:rsidR="006C43FB" w:rsidRDefault="006C43FB" w:rsidP="005002F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43FB" w:rsidRPr="00B964AB" w:rsidRDefault="006C43FB" w:rsidP="005002F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propósito de este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documento </w:t>
            </w:r>
            <w:r>
              <w:rPr>
                <w:rFonts w:ascii="Arial" w:hAnsi="Arial" w:cs="Arial"/>
                <w:sz w:val="20"/>
                <w:szCs w:val="20"/>
              </w:rPr>
              <w:t xml:space="preserve">es ofrecerles información </w:t>
            </w:r>
            <w:r w:rsidRPr="00B964AB">
              <w:rPr>
                <w:rFonts w:ascii="Arial" w:hAnsi="Arial" w:cs="Arial"/>
                <w:sz w:val="20"/>
                <w:szCs w:val="20"/>
              </w:rPr>
              <w:t xml:space="preserve">importante relacionada con la estrategia lanzada por el MEP denominada </w:t>
            </w:r>
            <w:r w:rsidRPr="00B964AB">
              <w:rPr>
                <w:rFonts w:ascii="Arial" w:hAnsi="Arial" w:cs="Arial"/>
                <w:b/>
                <w:sz w:val="20"/>
                <w:szCs w:val="20"/>
              </w:rPr>
              <w:t>Aprendo en casa</w:t>
            </w:r>
            <w:r w:rsidRPr="00B964AB">
              <w:rPr>
                <w:rFonts w:ascii="Arial" w:hAnsi="Arial" w:cs="Arial"/>
                <w:sz w:val="20"/>
                <w:szCs w:val="20"/>
              </w:rPr>
              <w:t xml:space="preserve"> que responde a la necesidad de acompañar a los docentes, los estudiantes y sus familias durante la pandemia del COVID-19.</w:t>
            </w:r>
          </w:p>
          <w:p w:rsidR="006C43FB" w:rsidRPr="00B964AB" w:rsidRDefault="006C43FB" w:rsidP="005002F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43FB" w:rsidRPr="00037664" w:rsidRDefault="006C43FB" w:rsidP="005002F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4AB">
              <w:rPr>
                <w:rFonts w:ascii="Arial" w:hAnsi="Arial" w:cs="Arial"/>
                <w:sz w:val="20"/>
                <w:szCs w:val="20"/>
              </w:rPr>
              <w:t xml:space="preserve">Como es conocido por todos nosotros docentes hemos iniciamos en este 2020 el trabajo de </w:t>
            </w:r>
            <w:r w:rsidRPr="00B964AB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037664">
              <w:rPr>
                <w:rFonts w:ascii="Arial" w:hAnsi="Arial" w:cs="Arial"/>
                <w:b/>
                <w:sz w:val="20"/>
                <w:szCs w:val="20"/>
              </w:rPr>
              <w:t xml:space="preserve">ransformación 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037664">
              <w:rPr>
                <w:rFonts w:ascii="Arial" w:hAnsi="Arial" w:cs="Arial"/>
                <w:b/>
                <w:sz w:val="20"/>
                <w:szCs w:val="20"/>
              </w:rPr>
              <w:t>urricular</w:t>
            </w:r>
            <w:r w:rsidRPr="00541D5D">
              <w:rPr>
                <w:rFonts w:ascii="Arial" w:hAnsi="Arial" w:cs="Arial"/>
                <w:bCs/>
                <w:sz w:val="20"/>
                <w:szCs w:val="20"/>
              </w:rPr>
              <w:t xml:space="preserve"> en nuestras aulas </w:t>
            </w:r>
            <w:r w:rsidRPr="00037664">
              <w:rPr>
                <w:rFonts w:ascii="Arial" w:hAnsi="Arial" w:cs="Arial"/>
                <w:sz w:val="20"/>
                <w:szCs w:val="20"/>
              </w:rPr>
              <w:t>incorporando en los procesos de mediación pedagógica que planificamos y ejecutamos el desarrollo de aprendizajes esperados y de 13 habilidades que hemos clasificado en cuatro dimensiones importantes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C43FB" w:rsidRPr="00037664" w:rsidRDefault="006C43FB" w:rsidP="005002F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64">
              <w:rPr>
                <w:rFonts w:ascii="Arial" w:hAnsi="Arial" w:cs="Arial"/>
                <w:sz w:val="20"/>
                <w:szCs w:val="20"/>
              </w:rPr>
              <w:t xml:space="preserve"> 1-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037664">
              <w:rPr>
                <w:rFonts w:ascii="Arial" w:hAnsi="Arial" w:cs="Arial"/>
                <w:b/>
                <w:sz w:val="20"/>
                <w:szCs w:val="20"/>
              </w:rPr>
              <w:t xml:space="preserve">aneras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037664">
              <w:rPr>
                <w:rFonts w:ascii="Arial" w:hAnsi="Arial" w:cs="Arial"/>
                <w:b/>
                <w:sz w:val="20"/>
                <w:szCs w:val="20"/>
              </w:rPr>
              <w:t>ensar</w:t>
            </w:r>
            <w:r w:rsidRPr="00037664">
              <w:rPr>
                <w:rFonts w:ascii="Arial" w:hAnsi="Arial" w:cs="Arial"/>
                <w:sz w:val="20"/>
                <w:szCs w:val="20"/>
              </w:rPr>
              <w:t>, (un desarrollo de capacidades cognitivas superiores como aprender a aprender, el desarrollo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7664">
              <w:rPr>
                <w:rFonts w:ascii="Arial" w:hAnsi="Arial" w:cs="Arial"/>
                <w:sz w:val="20"/>
                <w:szCs w:val="20"/>
              </w:rPr>
              <w:t>de  pensamiento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7664">
              <w:rPr>
                <w:rFonts w:ascii="Arial" w:hAnsi="Arial" w:cs="Arial"/>
                <w:sz w:val="20"/>
                <w:szCs w:val="20"/>
              </w:rPr>
              <w:t xml:space="preserve">crítico  y a la resolución de problemas entre otros) </w:t>
            </w:r>
          </w:p>
          <w:p w:rsidR="006C43FB" w:rsidRPr="00037664" w:rsidRDefault="006C43FB" w:rsidP="005002F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64">
              <w:rPr>
                <w:rFonts w:ascii="Arial" w:hAnsi="Arial" w:cs="Arial"/>
                <w:sz w:val="20"/>
                <w:szCs w:val="20"/>
              </w:rPr>
              <w:t>2-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7664">
              <w:rPr>
                <w:rFonts w:ascii="Arial" w:hAnsi="Arial" w:cs="Arial"/>
                <w:b/>
                <w:sz w:val="20"/>
                <w:szCs w:val="20"/>
              </w:rPr>
              <w:t>Formas</w:t>
            </w:r>
            <w:r w:rsidRPr="000376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7664">
              <w:rPr>
                <w:rFonts w:ascii="Arial" w:hAnsi="Arial" w:cs="Arial"/>
                <w:b/>
                <w:sz w:val="20"/>
                <w:szCs w:val="20"/>
              </w:rPr>
              <w:t>de vivir en el mundo</w:t>
            </w:r>
            <w:r w:rsidRPr="00037664">
              <w:rPr>
                <w:rFonts w:ascii="Arial" w:hAnsi="Arial" w:cs="Arial"/>
                <w:sz w:val="20"/>
                <w:szCs w:val="20"/>
              </w:rPr>
              <w:t xml:space="preserve"> (conocer lo que sucede en el mundo y mi entorno y como vivir de manera saludable y responsable) </w:t>
            </w:r>
          </w:p>
          <w:p w:rsidR="006C43FB" w:rsidRPr="00037664" w:rsidRDefault="006C43FB" w:rsidP="005002F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64">
              <w:rPr>
                <w:rFonts w:ascii="Arial" w:hAnsi="Arial" w:cs="Arial"/>
                <w:sz w:val="20"/>
                <w:szCs w:val="20"/>
              </w:rPr>
              <w:t>3-</w:t>
            </w:r>
            <w:r w:rsidRPr="00037664">
              <w:rPr>
                <w:rFonts w:ascii="Arial" w:hAnsi="Arial" w:cs="Arial"/>
                <w:b/>
                <w:sz w:val="20"/>
                <w:szCs w:val="20"/>
              </w:rPr>
              <w:t xml:space="preserve">Formas de relacionarme con otros </w:t>
            </w:r>
            <w:r w:rsidRPr="00037664">
              <w:rPr>
                <w:rFonts w:ascii="Arial" w:hAnsi="Arial" w:cs="Arial"/>
                <w:sz w:val="20"/>
                <w:szCs w:val="20"/>
              </w:rPr>
              <w:t xml:space="preserve">(aprender a comunicarme a expresar mi pensamiento y a trabajar de manera colaborativa) </w:t>
            </w:r>
          </w:p>
          <w:p w:rsidR="006C43FB" w:rsidRPr="00037664" w:rsidRDefault="006C43FB" w:rsidP="005002FC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7664">
              <w:rPr>
                <w:rFonts w:ascii="Arial" w:hAnsi="Arial" w:cs="Arial"/>
                <w:sz w:val="20"/>
                <w:szCs w:val="20"/>
              </w:rPr>
              <w:t>4-</w:t>
            </w:r>
            <w:r w:rsidRPr="00037664">
              <w:rPr>
                <w:rFonts w:ascii="Arial" w:hAnsi="Arial" w:cs="Arial"/>
                <w:b/>
                <w:sz w:val="20"/>
                <w:szCs w:val="20"/>
              </w:rPr>
              <w:t>Herramientas para integrarme al mundo</w:t>
            </w:r>
            <w:r w:rsidRPr="00037664">
              <w:rPr>
                <w:rFonts w:ascii="Arial" w:hAnsi="Arial" w:cs="Arial"/>
                <w:sz w:val="20"/>
                <w:szCs w:val="20"/>
              </w:rPr>
              <w:t xml:space="preserve"> (apropiación de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037664">
              <w:rPr>
                <w:rFonts w:ascii="Arial" w:hAnsi="Arial" w:cs="Arial"/>
                <w:sz w:val="20"/>
                <w:szCs w:val="20"/>
              </w:rPr>
              <w:t>ecnologías digitales y el manejo de la información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C43FB" w:rsidRPr="00B964AB" w:rsidRDefault="006C43FB" w:rsidP="005002FC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964AB">
              <w:rPr>
                <w:rFonts w:ascii="Arial" w:hAnsi="Arial" w:cs="Arial"/>
                <w:bCs/>
                <w:sz w:val="20"/>
                <w:szCs w:val="20"/>
              </w:rPr>
              <w:t xml:space="preserve">Sin lugar a duda esas cuatro dimensiones y cada una de sus habilidades responden hoy más que nunca a una realidad y una necesidad latente que vivimos todos. </w:t>
            </w:r>
          </w:p>
          <w:p w:rsidR="006C43FB" w:rsidRDefault="006C43FB" w:rsidP="005002F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64">
              <w:rPr>
                <w:rFonts w:ascii="Arial" w:hAnsi="Arial" w:cs="Arial"/>
                <w:sz w:val="20"/>
                <w:szCs w:val="20"/>
              </w:rPr>
              <w:t>Es importante señalar que las circunstancias actuales disponen el inicio de una transición educativa que implica pasar, de un modelo presencial de clases, a un modelo no presencial, a distancia o de acceso remoto. Esto con base en las posibilidades de acceso a recursos tecnológicos y conectividad y los distintos escenarios o condiciones educativas de cada uno de sus estudiantes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43FB" w:rsidRDefault="006C43FB" w:rsidP="00E91B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2FC">
              <w:rPr>
                <w:rFonts w:ascii="Arial" w:hAnsi="Arial" w:cs="Arial"/>
                <w:sz w:val="20"/>
                <w:szCs w:val="20"/>
              </w:rPr>
              <w:t>Las orientaciones para el apoyo del proceso educativo a distancia</w:t>
            </w:r>
            <w:r>
              <w:rPr>
                <w:rFonts w:ascii="Arial" w:hAnsi="Arial" w:cs="Arial"/>
                <w:sz w:val="20"/>
                <w:szCs w:val="20"/>
              </w:rPr>
              <w:t xml:space="preserve"> buscan:</w:t>
            </w:r>
          </w:p>
          <w:p w:rsidR="006C43FB" w:rsidRPr="005002FC" w:rsidRDefault="006C43FB" w:rsidP="00E91B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43FB" w:rsidRPr="005002FC" w:rsidRDefault="006C43FB" w:rsidP="00E91B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2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5002FC">
              <w:rPr>
                <w:rFonts w:ascii="Arial" w:hAnsi="Arial" w:cs="Arial"/>
                <w:sz w:val="20"/>
                <w:szCs w:val="20"/>
              </w:rPr>
              <w:t xml:space="preserve"> Diseñar espacios de aprendizaje para la persona estudiante del sistema público costarricense</w:t>
            </w:r>
            <w:r>
              <w:rPr>
                <w:rFonts w:ascii="Arial" w:hAnsi="Arial" w:cs="Arial"/>
                <w:sz w:val="20"/>
                <w:szCs w:val="20"/>
              </w:rPr>
              <w:t xml:space="preserve"> con base en </w:t>
            </w:r>
            <w:r w:rsidRPr="005002FC">
              <w:rPr>
                <w:rFonts w:ascii="Arial" w:hAnsi="Arial" w:cs="Arial"/>
                <w:sz w:val="20"/>
                <w:szCs w:val="20"/>
              </w:rPr>
              <w:t>su contexto y posibilidades de acceso a tecnologías u otros recursos.</w:t>
            </w:r>
          </w:p>
          <w:p w:rsidR="006C43FB" w:rsidRPr="005002FC" w:rsidRDefault="006C43FB" w:rsidP="00E91B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  <w:r w:rsidRPr="005002FC">
              <w:rPr>
                <w:rFonts w:ascii="Arial" w:hAnsi="Arial" w:cs="Arial"/>
                <w:sz w:val="20"/>
                <w:szCs w:val="20"/>
              </w:rPr>
              <w:t xml:space="preserve"> Evitar la desvinculación de la persona estudiante con el centro educativo, activando todos aquellos mecanismos comunicativos que promuevan su permanencia en el sistema educativo</w:t>
            </w:r>
            <w:r>
              <w:rPr>
                <w:rFonts w:ascii="Arial" w:hAnsi="Arial" w:cs="Arial"/>
                <w:sz w:val="20"/>
                <w:szCs w:val="20"/>
              </w:rPr>
              <w:t>, por ejemplo Microsoft Teams, WhatsApp, entre otros.</w:t>
            </w:r>
          </w:p>
          <w:p w:rsidR="006C43FB" w:rsidRDefault="006C43FB" w:rsidP="005002F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5002FC">
              <w:rPr>
                <w:rFonts w:ascii="Arial" w:hAnsi="Arial" w:cs="Arial"/>
                <w:sz w:val="20"/>
                <w:szCs w:val="20"/>
              </w:rPr>
              <w:t xml:space="preserve"> Repensar las formas de mediación pedagógica para promover y generar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02FC">
              <w:rPr>
                <w:rFonts w:ascii="Arial" w:hAnsi="Arial" w:cs="Arial"/>
                <w:sz w:val="20"/>
                <w:szCs w:val="20"/>
              </w:rPr>
              <w:t>el aprendizaje desde el contexto inmediato de la persona estudiante.</w:t>
            </w:r>
          </w:p>
          <w:p w:rsidR="006C43FB" w:rsidRDefault="006C43FB" w:rsidP="005002F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43FB" w:rsidRPr="00782EB8" w:rsidRDefault="006C43FB" w:rsidP="0003766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64">
              <w:rPr>
                <w:rFonts w:ascii="Arial" w:hAnsi="Arial" w:cs="Arial"/>
                <w:sz w:val="20"/>
                <w:szCs w:val="20"/>
              </w:rPr>
              <w:t xml:space="preserve">Para dar respuesta a </w:t>
            </w:r>
            <w:r>
              <w:rPr>
                <w:rFonts w:ascii="Arial" w:hAnsi="Arial" w:cs="Arial"/>
                <w:sz w:val="20"/>
                <w:szCs w:val="20"/>
              </w:rPr>
              <w:t xml:space="preserve">los tres </w:t>
            </w:r>
            <w:r w:rsidRPr="00037664">
              <w:rPr>
                <w:rFonts w:ascii="Arial" w:hAnsi="Arial" w:cs="Arial"/>
                <w:sz w:val="20"/>
                <w:szCs w:val="20"/>
              </w:rPr>
              <w:t xml:space="preserve">principales propósitos de las Orientaciones para el apoyo del proceso educativo a distancia (a través de medios tecnológicos o impresos) se desarrolló la </w:t>
            </w:r>
            <w:r w:rsidRPr="00037664">
              <w:rPr>
                <w:rFonts w:ascii="Arial" w:hAnsi="Arial" w:cs="Arial"/>
                <w:b/>
                <w:sz w:val="20"/>
                <w:szCs w:val="20"/>
              </w:rPr>
              <w:t>Guía de Trabajo autónomo de la cual les hablaré hoy.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C43FB" w:rsidRPr="00782EB8" w:rsidTr="006C43FB">
        <w:trPr>
          <w:gridAfter w:val="1"/>
          <w:wAfter w:w="11872" w:type="dxa"/>
        </w:trPr>
        <w:tc>
          <w:tcPr>
            <w:tcW w:w="1595" w:type="dxa"/>
            <w:shd w:val="clear" w:color="auto" w:fill="auto"/>
          </w:tcPr>
          <w:p w:rsidR="006C43FB" w:rsidRPr="00782EB8" w:rsidRDefault="006C43FB" w:rsidP="00E4424C">
            <w:pPr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</w:p>
        </w:tc>
      </w:tr>
      <w:tr w:rsidR="006C43FB" w:rsidRPr="00782EB8" w:rsidTr="006C43FB">
        <w:tc>
          <w:tcPr>
            <w:tcW w:w="13467" w:type="dxa"/>
            <w:gridSpan w:val="2"/>
          </w:tcPr>
          <w:p w:rsidR="006C43FB" w:rsidRPr="00037664" w:rsidRDefault="006C43FB" w:rsidP="005002F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64">
              <w:rPr>
                <w:rFonts w:ascii="Arial" w:hAnsi="Arial" w:cs="Arial"/>
                <w:sz w:val="20"/>
                <w:szCs w:val="20"/>
              </w:rPr>
              <w:t xml:space="preserve">Empecemos aclarando </w:t>
            </w:r>
          </w:p>
          <w:p w:rsidR="006C43FB" w:rsidRPr="00037664" w:rsidRDefault="006C43FB" w:rsidP="005002F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7664">
              <w:rPr>
                <w:rFonts w:ascii="Arial" w:hAnsi="Arial" w:cs="Arial"/>
                <w:b/>
                <w:bCs/>
                <w:sz w:val="20"/>
                <w:szCs w:val="20"/>
              </w:rPr>
              <w:t>¿Qué es el trabajo autónomo?</w:t>
            </w:r>
          </w:p>
          <w:p w:rsidR="006C43FB" w:rsidRPr="00037664" w:rsidRDefault="006C43FB" w:rsidP="005002F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64">
              <w:rPr>
                <w:rFonts w:ascii="Arial" w:hAnsi="Arial" w:cs="Arial"/>
                <w:sz w:val="20"/>
                <w:szCs w:val="20"/>
              </w:rPr>
              <w:t>El trabajo autónomo es la capacidad de que la persona estudiante pueda realizar tareas de manera independiente, sin necesidad de que los nosotros, los docentes estemos presentes.</w:t>
            </w:r>
          </w:p>
          <w:p w:rsidR="006C43FB" w:rsidRPr="00037664" w:rsidRDefault="006C43FB" w:rsidP="005002F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43FB" w:rsidRPr="006C43FB" w:rsidRDefault="006C43FB" w:rsidP="000E21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76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¿Qué es una Guía de trabajo autónomo 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GTA</w:t>
            </w:r>
            <w:r w:rsidRPr="00037664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:rsidR="006C43FB" w:rsidRPr="00037664" w:rsidRDefault="006C43FB" w:rsidP="000E21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64">
              <w:rPr>
                <w:rFonts w:ascii="Arial" w:hAnsi="Arial" w:cs="Arial"/>
                <w:sz w:val="20"/>
                <w:szCs w:val="20"/>
              </w:rPr>
              <w:t>Es una herramienta didáctica de mediación pedagógica cuya estructura es construida siguiendo los indicadores de la habilidad de aprender a aprender o metacognición</w:t>
            </w:r>
          </w:p>
          <w:p w:rsidR="006C43FB" w:rsidRPr="00037664" w:rsidRDefault="006C43FB" w:rsidP="000E21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64">
              <w:rPr>
                <w:rFonts w:ascii="Arial" w:hAnsi="Arial" w:cs="Arial"/>
                <w:sz w:val="20"/>
                <w:szCs w:val="20"/>
              </w:rPr>
              <w:t>1-Planificacion</w:t>
            </w:r>
          </w:p>
          <w:p w:rsidR="006C43FB" w:rsidRPr="00037664" w:rsidRDefault="006C43FB" w:rsidP="000E21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64">
              <w:rPr>
                <w:rFonts w:ascii="Arial" w:hAnsi="Arial" w:cs="Arial"/>
                <w:sz w:val="20"/>
                <w:szCs w:val="20"/>
              </w:rPr>
              <w:t xml:space="preserve">2. Autorregulación </w:t>
            </w:r>
          </w:p>
          <w:p w:rsidR="006C43FB" w:rsidRPr="00037664" w:rsidRDefault="006C43FB" w:rsidP="000E21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64">
              <w:rPr>
                <w:rFonts w:ascii="Arial" w:hAnsi="Arial" w:cs="Arial"/>
                <w:sz w:val="20"/>
                <w:szCs w:val="20"/>
              </w:rPr>
              <w:t xml:space="preserve">3.Evaluacion </w:t>
            </w:r>
          </w:p>
          <w:p w:rsidR="006C43FB" w:rsidRPr="00037664" w:rsidRDefault="006C43FB" w:rsidP="00E91BD7">
            <w:pPr>
              <w:spacing w:line="360" w:lineRule="auto"/>
              <w:jc w:val="both"/>
              <w:rPr>
                <w:rFonts w:ascii="Arial" w:hAnsi="Arial" w:cs="Arial"/>
                <w:color w:val="0E57C4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</w:t>
            </w:r>
            <w:r w:rsidRPr="00037664">
              <w:rPr>
                <w:rFonts w:ascii="Arial" w:hAnsi="Arial" w:cs="Arial"/>
                <w:sz w:val="20"/>
                <w:szCs w:val="20"/>
              </w:rPr>
              <w:t xml:space="preserve"> le permite al docente el andamiaje de aprendizajes esperados y diferentes habilidades, y a la persona estudiante desarrollar la habilidad de aprender a aprender mediante tres momentos que se pueden evidenciar en las partes en que se divide la guía: </w:t>
            </w:r>
          </w:p>
          <w:p w:rsidR="006C43FB" w:rsidRPr="00037664" w:rsidRDefault="006C43FB" w:rsidP="006C7820">
            <w:pPr>
              <w:spacing w:line="360" w:lineRule="auto"/>
              <w:jc w:val="both"/>
              <w:rPr>
                <w:rFonts w:ascii="Arial" w:hAnsi="Arial" w:cs="Arial"/>
                <w:color w:val="0E57C4" w:themeColor="background2" w:themeShade="80"/>
                <w:sz w:val="20"/>
                <w:szCs w:val="20"/>
              </w:rPr>
            </w:pPr>
            <w:r w:rsidRPr="00037664">
              <w:rPr>
                <w:rFonts w:ascii="Arial" w:hAnsi="Arial" w:cs="Arial"/>
                <w:color w:val="0E57C4" w:themeColor="background2" w:themeShade="80"/>
                <w:sz w:val="20"/>
                <w:szCs w:val="20"/>
              </w:rPr>
              <w:t>(Ver guía adjunta)</w:t>
            </w:r>
          </w:p>
          <w:p w:rsidR="006C43FB" w:rsidRPr="00037664" w:rsidRDefault="006C43FB" w:rsidP="006C7820">
            <w:pPr>
              <w:pStyle w:val="Prrafodelista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64">
              <w:rPr>
                <w:rFonts w:ascii="Arial" w:hAnsi="Arial" w:cs="Arial"/>
                <w:sz w:val="20"/>
                <w:szCs w:val="20"/>
              </w:rPr>
              <w:t>Me preparo para hacer la guía (planifico)</w:t>
            </w:r>
          </w:p>
          <w:p w:rsidR="006C43FB" w:rsidRPr="00037664" w:rsidRDefault="006C43FB" w:rsidP="006C7820">
            <w:pPr>
              <w:pStyle w:val="Prrafodelista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64">
              <w:rPr>
                <w:rFonts w:ascii="Arial" w:hAnsi="Arial" w:cs="Arial"/>
                <w:sz w:val="20"/>
                <w:szCs w:val="20"/>
              </w:rPr>
              <w:t>Voy a recordar/repasar lo aprendido y/o aprender (me autorregulo)</w:t>
            </w:r>
          </w:p>
          <w:p w:rsidR="006C43FB" w:rsidRDefault="006C43FB" w:rsidP="000E21A9">
            <w:pPr>
              <w:pStyle w:val="Prrafodelista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64">
              <w:rPr>
                <w:rFonts w:ascii="Arial" w:hAnsi="Arial" w:cs="Arial"/>
                <w:sz w:val="20"/>
                <w:szCs w:val="20"/>
              </w:rPr>
              <w:t>Pongo en práctica lo aprendido (me evalúo)</w:t>
            </w:r>
          </w:p>
          <w:p w:rsidR="006C43FB" w:rsidRPr="00B964AB" w:rsidRDefault="006C43FB" w:rsidP="00B964A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43FB" w:rsidRPr="00037664" w:rsidRDefault="006C43FB" w:rsidP="005002F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64">
              <w:rPr>
                <w:rFonts w:ascii="Arial" w:hAnsi="Arial" w:cs="Arial"/>
                <w:sz w:val="20"/>
                <w:szCs w:val="20"/>
              </w:rPr>
              <w:t>El docente puede planificar que en su ejecución la persona estudiante se apoye a con recursos tecnológicos, de manera independiente o con el apoyo de algún familiar (e</w:t>
            </w:r>
            <w:bookmarkStart w:id="0" w:name="_GoBack"/>
            <w:bookmarkEnd w:id="0"/>
            <w:r w:rsidRPr="00037664">
              <w:rPr>
                <w:rFonts w:ascii="Arial" w:hAnsi="Arial" w:cs="Arial"/>
                <w:sz w:val="20"/>
                <w:szCs w:val="20"/>
              </w:rPr>
              <w:t xml:space="preserve">n el caso de los más pequeños).  </w:t>
            </w:r>
          </w:p>
          <w:p w:rsidR="006C43FB" w:rsidRPr="00037664" w:rsidRDefault="006C43FB" w:rsidP="005002F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43FB" w:rsidRPr="00037664" w:rsidRDefault="006C43FB" w:rsidP="005002F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64">
              <w:rPr>
                <w:rFonts w:ascii="Arial" w:hAnsi="Arial" w:cs="Arial"/>
                <w:sz w:val="20"/>
                <w:szCs w:val="20"/>
              </w:rPr>
              <w:t>Recuerde….</w:t>
            </w:r>
          </w:p>
          <w:p w:rsidR="006C43FB" w:rsidRPr="00037664" w:rsidRDefault="006C43FB" w:rsidP="005002F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64">
              <w:rPr>
                <w:rFonts w:ascii="Arial" w:hAnsi="Arial" w:cs="Arial"/>
                <w:sz w:val="20"/>
                <w:szCs w:val="20"/>
              </w:rPr>
              <w:t>En la Caja de Herramientas se encuentran programas de estudio, plantillas de planeamiento didáctico, que integran los aprendizajes esperados y las habilidades; contemplados para cada mes o periodo, los docentes debemos planificar las estrategias de mediación pedagógica que es la cuarta columna y que ahora pasara de un proceso para desarrollar en el aula a un procesos de  trabajo autónomo, por esa razón en la  columna de mediación pedagógica planificaremos las Guías de trabajo autónomo, cuando sea  posible con las actividades apoyadas con herramientas virtuales o a distancia, y que serán desarrolladas por la persona estudiante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7664">
              <w:rPr>
                <w:rFonts w:ascii="Arial" w:hAnsi="Arial" w:cs="Arial"/>
                <w:sz w:val="20"/>
                <w:szCs w:val="20"/>
              </w:rPr>
              <w:t>de manera independiente o con el apoyo de algún familiar (en el caso de los más pequeños).</w:t>
            </w:r>
          </w:p>
          <w:p w:rsidR="006C43FB" w:rsidRPr="00037664" w:rsidRDefault="006C43FB" w:rsidP="005002F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43FB" w:rsidRPr="00166F82" w:rsidRDefault="006C43FB" w:rsidP="005002FC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7664">
              <w:rPr>
                <w:rFonts w:ascii="Arial" w:hAnsi="Arial" w:cs="Arial"/>
                <w:sz w:val="20"/>
                <w:szCs w:val="20"/>
              </w:rPr>
              <w:t xml:space="preserve">Es importante aclarar que si existe la posibilidad del acompañamiento tecnológico y la persona docente puede comunicarse de manera virtual con las personas estudiantes, se aproveche </w:t>
            </w:r>
            <w:r>
              <w:rPr>
                <w:rFonts w:ascii="Arial" w:hAnsi="Arial" w:cs="Arial"/>
                <w:sz w:val="20"/>
                <w:szCs w:val="20"/>
              </w:rPr>
              <w:t xml:space="preserve">ese espacio </w:t>
            </w:r>
            <w:r w:rsidRPr="00037664">
              <w:rPr>
                <w:rFonts w:ascii="Arial" w:hAnsi="Arial" w:cs="Arial"/>
                <w:sz w:val="20"/>
                <w:szCs w:val="20"/>
              </w:rPr>
              <w:t>para leer junto a sus estudiantes la Guía de trabajo autónomo, retomar</w:t>
            </w:r>
            <w:r>
              <w:rPr>
                <w:rFonts w:ascii="Arial" w:hAnsi="Arial" w:cs="Arial"/>
                <w:sz w:val="20"/>
                <w:szCs w:val="20"/>
              </w:rPr>
              <w:t xml:space="preserve"> aprendizajes previos y</w:t>
            </w:r>
            <w:r w:rsidRPr="00037664">
              <w:rPr>
                <w:rFonts w:ascii="Arial" w:hAnsi="Arial" w:cs="Arial"/>
                <w:sz w:val="20"/>
                <w:szCs w:val="20"/>
              </w:rPr>
              <w:t xml:space="preserve"> presentar ejemplos</w:t>
            </w:r>
            <w:r>
              <w:rPr>
                <w:rFonts w:ascii="Arial" w:hAnsi="Arial" w:cs="Arial"/>
                <w:sz w:val="20"/>
                <w:szCs w:val="20"/>
              </w:rPr>
              <w:t>. Esto se encuentra en la GTA en la sección</w:t>
            </w:r>
            <w:r w:rsidRPr="00037664">
              <w:rPr>
                <w:rFonts w:ascii="Arial" w:hAnsi="Arial" w:cs="Arial"/>
                <w:sz w:val="20"/>
                <w:szCs w:val="20"/>
              </w:rPr>
              <w:t xml:space="preserve"> denominada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964AB">
              <w:rPr>
                <w:rFonts w:ascii="Arial" w:hAnsi="Arial" w:cs="Arial"/>
                <w:b/>
                <w:sz w:val="20"/>
                <w:szCs w:val="20"/>
              </w:rPr>
              <w:t xml:space="preserve">oy a recordar, repasar o aprender </w:t>
            </w:r>
            <w:r w:rsidRPr="00B964AB">
              <w:rPr>
                <w:rFonts w:ascii="Arial" w:hAnsi="Arial" w:cs="Arial"/>
                <w:sz w:val="20"/>
                <w:szCs w:val="20"/>
              </w:rPr>
              <w:t>para que al terminar la sesión de comunicación virtual el estudiante pueda trabajar de manera independiente la</w:t>
            </w:r>
            <w:r>
              <w:rPr>
                <w:rFonts w:ascii="Arial" w:hAnsi="Arial" w:cs="Arial"/>
                <w:sz w:val="20"/>
                <w:szCs w:val="20"/>
              </w:rPr>
              <w:t xml:space="preserve"> sección</w:t>
            </w:r>
            <w:r w:rsidRPr="00B964A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964AB">
              <w:rPr>
                <w:rFonts w:ascii="Arial" w:hAnsi="Arial" w:cs="Arial"/>
                <w:b/>
                <w:sz w:val="20"/>
                <w:szCs w:val="20"/>
              </w:rPr>
              <w:t>ongo en práctica lo aprendido.</w:t>
            </w:r>
            <w:r w:rsidRPr="00166F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C43FB" w:rsidRPr="00037664" w:rsidRDefault="006C43FB" w:rsidP="005002F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64">
              <w:rPr>
                <w:rFonts w:ascii="Arial" w:hAnsi="Arial" w:cs="Arial"/>
                <w:sz w:val="20"/>
                <w:szCs w:val="20"/>
              </w:rPr>
              <w:t>Al volverse a encontrar es necesario conversar sobre las actividades de trabajo autónomo realizadas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37664">
              <w:rPr>
                <w:rFonts w:ascii="Arial" w:hAnsi="Arial" w:cs="Arial"/>
                <w:sz w:val="20"/>
                <w:szCs w:val="20"/>
              </w:rPr>
              <w:t xml:space="preserve"> sus dudas y los procesos de autorregulación y autoevaluación realizados. </w:t>
            </w:r>
          </w:p>
          <w:p w:rsidR="006C43FB" w:rsidRPr="00037664" w:rsidRDefault="006C43FB" w:rsidP="005002F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43FB" w:rsidRPr="00037664" w:rsidRDefault="006C43FB" w:rsidP="005002FC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7664">
              <w:rPr>
                <w:rFonts w:ascii="Arial" w:hAnsi="Arial" w:cs="Arial"/>
                <w:sz w:val="20"/>
                <w:szCs w:val="20"/>
              </w:rPr>
              <w:t>Cada educador tiene su estilo personal de planificación, sea creativo e imprima en su trabajo las características disciplinarias de la asignatura que desarrolla. R</w:t>
            </w:r>
            <w:r>
              <w:rPr>
                <w:rFonts w:ascii="Arial" w:hAnsi="Arial" w:cs="Arial"/>
                <w:sz w:val="20"/>
                <w:szCs w:val="20"/>
              </w:rPr>
              <w:t>ecuerde</w:t>
            </w:r>
            <w:r w:rsidRPr="000376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7664">
              <w:rPr>
                <w:rFonts w:ascii="Arial" w:hAnsi="Arial" w:cs="Arial"/>
                <w:b/>
                <w:sz w:val="20"/>
                <w:szCs w:val="20"/>
              </w:rPr>
              <w:t>mantener las actividades de preparación o planificación, profundización, aplicación y evaluación formativa.</w:t>
            </w:r>
          </w:p>
          <w:p w:rsidR="006C43FB" w:rsidRPr="00037664" w:rsidRDefault="006C43FB" w:rsidP="005002F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64">
              <w:rPr>
                <w:rFonts w:ascii="Arial" w:hAnsi="Arial" w:cs="Arial"/>
                <w:sz w:val="20"/>
                <w:szCs w:val="20"/>
              </w:rPr>
              <w:t>Es importante que de las guías se deriven trabajos o productos concretos que evidencien o demuestren lo aprendido. Deben ser comprensibles. Recuerde que deben ser accesibles y permitir múltiples formas de brindar la información, con las indicaciones claras de lo que el estudiantado debe hacer. Recuerde motivar en todo momento y dar probabilidad de éxito, para que el estudiante tenga una conciencia de eficacia auto percibido.</w:t>
            </w:r>
          </w:p>
          <w:p w:rsidR="006C43FB" w:rsidRPr="00037664" w:rsidRDefault="006C43FB" w:rsidP="005002F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64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mportante…</w:t>
            </w:r>
          </w:p>
          <w:p w:rsidR="006C43FB" w:rsidRPr="00037664" w:rsidRDefault="006C43FB" w:rsidP="005002F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64">
              <w:rPr>
                <w:rFonts w:ascii="Arial" w:hAnsi="Arial" w:cs="Arial"/>
                <w:sz w:val="20"/>
                <w:szCs w:val="20"/>
              </w:rPr>
              <w:t xml:space="preserve">Recuerde la </w:t>
            </w:r>
            <w:r w:rsidRPr="000C467F">
              <w:rPr>
                <w:rFonts w:ascii="Arial" w:hAnsi="Arial" w:cs="Arial"/>
                <w:b/>
                <w:sz w:val="20"/>
                <w:szCs w:val="20"/>
              </w:rPr>
              <w:t>mediación pedagógica es un proceso experimentado e intencionado</w:t>
            </w:r>
            <w:r w:rsidRPr="00037664">
              <w:rPr>
                <w:rFonts w:ascii="Arial" w:hAnsi="Arial" w:cs="Arial"/>
                <w:sz w:val="20"/>
                <w:szCs w:val="20"/>
              </w:rPr>
              <w:t xml:space="preserve"> si usted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37664">
              <w:rPr>
                <w:rFonts w:ascii="Arial" w:hAnsi="Arial" w:cs="Arial"/>
                <w:sz w:val="20"/>
                <w:szCs w:val="20"/>
              </w:rPr>
              <w:t xml:space="preserve"> para desarrollar un aprendizaje esperado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37664">
              <w:rPr>
                <w:rFonts w:ascii="Arial" w:hAnsi="Arial" w:cs="Arial"/>
                <w:sz w:val="20"/>
                <w:szCs w:val="20"/>
              </w:rPr>
              <w:t xml:space="preserve"> acostumbra tomar la decisión de un camino por los procesos a- b- c- d</w:t>
            </w:r>
          </w:p>
          <w:p w:rsidR="006C43FB" w:rsidRPr="00037664" w:rsidRDefault="006C43FB" w:rsidP="005002F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64">
              <w:rPr>
                <w:rFonts w:ascii="Arial" w:hAnsi="Arial" w:cs="Arial"/>
                <w:sz w:val="20"/>
                <w:szCs w:val="20"/>
              </w:rPr>
              <w:t xml:space="preserve">Ahora debe elaborar una estrategia en la que se </w:t>
            </w:r>
            <w:r w:rsidRPr="00166F82">
              <w:rPr>
                <w:rFonts w:ascii="Arial" w:hAnsi="Arial" w:cs="Arial"/>
                <w:b/>
                <w:sz w:val="20"/>
                <w:szCs w:val="20"/>
                <w:u w:val="single"/>
              </w:rPr>
              <w:t>busque constantemente la recuperación</w:t>
            </w:r>
            <w:r w:rsidRPr="00037664">
              <w:rPr>
                <w:rFonts w:ascii="Arial" w:hAnsi="Arial" w:cs="Arial"/>
                <w:sz w:val="20"/>
                <w:szCs w:val="20"/>
              </w:rPr>
              <w:t xml:space="preserve"> de conocimiento </w:t>
            </w:r>
          </w:p>
          <w:p w:rsidR="006C43FB" w:rsidRPr="00037664" w:rsidRDefault="006C43FB" w:rsidP="005002F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64">
              <w:rPr>
                <w:rFonts w:ascii="Arial" w:hAnsi="Arial" w:cs="Arial"/>
                <w:sz w:val="20"/>
                <w:szCs w:val="20"/>
              </w:rPr>
              <w:t xml:space="preserve">Ósea en la primera guía de trabajo autónomo usted lleva a sus estudiantes a recuperar aprendizajes previos </w:t>
            </w:r>
          </w:p>
          <w:p w:rsidR="006C43FB" w:rsidRPr="00037664" w:rsidRDefault="006C43FB" w:rsidP="005002F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64">
              <w:rPr>
                <w:rFonts w:ascii="Arial" w:hAnsi="Arial" w:cs="Arial"/>
                <w:sz w:val="20"/>
                <w:szCs w:val="20"/>
              </w:rPr>
              <w:t xml:space="preserve">En la siguiente guía de trabajo autónomo retoma los conocimientos previos y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037664">
              <w:rPr>
                <w:rFonts w:ascii="Arial" w:hAnsi="Arial" w:cs="Arial"/>
                <w:sz w:val="20"/>
                <w:szCs w:val="20"/>
              </w:rPr>
              <w:t>uego vuelve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7664">
              <w:rPr>
                <w:rFonts w:ascii="Arial" w:hAnsi="Arial" w:cs="Arial"/>
                <w:sz w:val="20"/>
                <w:szCs w:val="20"/>
              </w:rPr>
              <w:t xml:space="preserve">a  retomar  a-  </w:t>
            </w:r>
            <w:r>
              <w:rPr>
                <w:rFonts w:ascii="Arial" w:hAnsi="Arial" w:cs="Arial"/>
                <w:sz w:val="20"/>
                <w:szCs w:val="20"/>
              </w:rPr>
              <w:t>e inicia</w:t>
            </w:r>
            <w:r w:rsidRPr="00037664">
              <w:rPr>
                <w:rFonts w:ascii="Arial" w:hAnsi="Arial" w:cs="Arial"/>
                <w:sz w:val="20"/>
                <w:szCs w:val="20"/>
              </w:rPr>
              <w:t xml:space="preserve"> con b </w:t>
            </w:r>
          </w:p>
          <w:p w:rsidR="006C43FB" w:rsidRPr="00283604" w:rsidRDefault="006C43FB" w:rsidP="005002F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64">
              <w:rPr>
                <w:rFonts w:ascii="Arial" w:hAnsi="Arial" w:cs="Arial"/>
                <w:sz w:val="20"/>
                <w:szCs w:val="20"/>
              </w:rPr>
              <w:t>En la otra guía de trabajo autónomo recupera a- b desarrolla inicialmente c.</w:t>
            </w:r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Pr="00283604">
              <w:rPr>
                <w:rFonts w:ascii="Arial" w:hAnsi="Arial" w:cs="Arial"/>
                <w:sz w:val="20"/>
                <w:szCs w:val="20"/>
              </w:rPr>
              <w:t>a</w:t>
            </w:r>
            <w:r w:rsidRPr="00283604">
              <w:rPr>
                <w:rFonts w:ascii="Arial" w:hAnsi="Arial" w:cs="Arial"/>
                <w:sz w:val="20"/>
                <w:szCs w:val="20"/>
                <w:u w:val="single"/>
              </w:rPr>
              <w:t>sí progresivamente.</w:t>
            </w:r>
          </w:p>
          <w:p w:rsidR="006C43FB" w:rsidRPr="00037664" w:rsidRDefault="006C43FB" w:rsidP="005002F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43FB" w:rsidRPr="00037664" w:rsidRDefault="006C43FB" w:rsidP="005002F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64">
              <w:rPr>
                <w:rFonts w:ascii="Arial" w:hAnsi="Arial" w:cs="Arial"/>
                <w:sz w:val="20"/>
                <w:szCs w:val="20"/>
              </w:rPr>
              <w:t xml:space="preserve">Se pueden usar </w:t>
            </w:r>
            <w:r>
              <w:rPr>
                <w:rFonts w:ascii="Arial" w:hAnsi="Arial" w:cs="Arial"/>
                <w:sz w:val="20"/>
                <w:szCs w:val="20"/>
              </w:rPr>
              <w:t xml:space="preserve">los </w:t>
            </w:r>
            <w:r w:rsidRPr="00037664">
              <w:rPr>
                <w:rFonts w:ascii="Arial" w:hAnsi="Arial" w:cs="Arial"/>
                <w:sz w:val="20"/>
                <w:szCs w:val="20"/>
              </w:rPr>
              <w:t>recursos disponibles en la Caja de Herramientas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376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037664">
              <w:rPr>
                <w:rFonts w:ascii="Arial" w:hAnsi="Arial" w:cs="Arial"/>
                <w:sz w:val="20"/>
                <w:szCs w:val="20"/>
              </w:rPr>
              <w:t>os asesores nacionales de</w:t>
            </w:r>
            <w:r>
              <w:rPr>
                <w:rFonts w:ascii="Arial" w:hAnsi="Arial" w:cs="Arial"/>
                <w:sz w:val="20"/>
                <w:szCs w:val="20"/>
              </w:rPr>
              <w:t xml:space="preserve"> la</w:t>
            </w:r>
            <w:r w:rsidRPr="00037664">
              <w:rPr>
                <w:rFonts w:ascii="Arial" w:hAnsi="Arial" w:cs="Arial"/>
                <w:sz w:val="20"/>
                <w:szCs w:val="20"/>
              </w:rPr>
              <w:t xml:space="preserve"> D</w:t>
            </w:r>
            <w:r>
              <w:rPr>
                <w:rFonts w:ascii="Arial" w:hAnsi="Arial" w:cs="Arial"/>
                <w:sz w:val="20"/>
                <w:szCs w:val="20"/>
              </w:rPr>
              <w:t xml:space="preserve">irección de Desarrollo Curricular </w:t>
            </w:r>
            <w:r w:rsidRPr="00037664">
              <w:rPr>
                <w:rFonts w:ascii="Arial" w:hAnsi="Arial" w:cs="Arial"/>
                <w:sz w:val="20"/>
                <w:szCs w:val="20"/>
              </w:rPr>
              <w:t>han elaborado más de 600 GTA para que ustedes</w:t>
            </w:r>
            <w:r>
              <w:rPr>
                <w:rFonts w:ascii="Arial" w:hAnsi="Arial" w:cs="Arial"/>
                <w:sz w:val="20"/>
                <w:szCs w:val="20"/>
              </w:rPr>
              <w:t xml:space="preserve"> puedan</w:t>
            </w:r>
            <w:r w:rsidRPr="00037664">
              <w:rPr>
                <w:rFonts w:ascii="Arial" w:hAnsi="Arial" w:cs="Arial"/>
                <w:sz w:val="20"/>
                <w:szCs w:val="20"/>
              </w:rPr>
              <w:t xml:space="preserve"> utilizarlas con sus estudiantes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37664">
              <w:rPr>
                <w:rFonts w:ascii="Arial" w:hAnsi="Arial" w:cs="Arial"/>
                <w:sz w:val="20"/>
                <w:szCs w:val="20"/>
              </w:rPr>
              <w:t xml:space="preserve"> ya sea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7664">
              <w:rPr>
                <w:rFonts w:ascii="Arial" w:hAnsi="Arial" w:cs="Arial"/>
                <w:sz w:val="20"/>
                <w:szCs w:val="20"/>
              </w:rPr>
              <w:t>en el envío digital o impreso según los diferentes escenarios</w:t>
            </w:r>
            <w:r>
              <w:rPr>
                <w:rFonts w:ascii="Arial" w:hAnsi="Arial" w:cs="Arial"/>
                <w:sz w:val="20"/>
                <w:szCs w:val="20"/>
              </w:rPr>
              <w:t xml:space="preserve"> o posibilidades de sus estudiantes.</w:t>
            </w:r>
          </w:p>
          <w:p w:rsidR="006C43FB" w:rsidRPr="00037664" w:rsidRDefault="006C43FB" w:rsidP="005002F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64">
              <w:rPr>
                <w:rFonts w:ascii="Arial" w:hAnsi="Arial" w:cs="Arial"/>
                <w:sz w:val="20"/>
                <w:szCs w:val="20"/>
              </w:rPr>
              <w:t xml:space="preserve"> Queda a criterio del docente en qué formato los envía, según el escenario de acceso a</w:t>
            </w:r>
            <w:r>
              <w:rPr>
                <w:rFonts w:ascii="Arial" w:hAnsi="Arial" w:cs="Arial"/>
                <w:sz w:val="20"/>
                <w:szCs w:val="20"/>
              </w:rPr>
              <w:t xml:space="preserve"> los </w:t>
            </w:r>
            <w:r w:rsidRPr="00037664">
              <w:rPr>
                <w:rFonts w:ascii="Arial" w:hAnsi="Arial" w:cs="Arial"/>
                <w:sz w:val="20"/>
                <w:szCs w:val="20"/>
              </w:rPr>
              <w:t xml:space="preserve">recursos </w:t>
            </w:r>
            <w:r>
              <w:rPr>
                <w:rFonts w:ascii="Arial" w:hAnsi="Arial" w:cs="Arial"/>
                <w:sz w:val="20"/>
                <w:szCs w:val="20"/>
              </w:rPr>
              <w:t xml:space="preserve">por parte </w:t>
            </w:r>
            <w:r w:rsidRPr="00037664">
              <w:rPr>
                <w:rFonts w:ascii="Arial" w:hAnsi="Arial" w:cs="Arial"/>
                <w:sz w:val="20"/>
                <w:szCs w:val="20"/>
              </w:rPr>
              <w:t>de sus estudiantes (.doc.</w:t>
            </w:r>
            <w:proofErr w:type="gramStart"/>
            <w:r w:rsidRPr="00037664">
              <w:rPr>
                <w:rFonts w:ascii="Arial" w:hAnsi="Arial" w:cs="Arial"/>
                <w:sz w:val="20"/>
                <w:szCs w:val="20"/>
              </w:rPr>
              <w:t>,.</w:t>
            </w:r>
            <w:proofErr w:type="gramEnd"/>
            <w:r w:rsidRPr="00037664">
              <w:rPr>
                <w:rFonts w:ascii="Arial" w:hAnsi="Arial" w:cs="Arial"/>
                <w:sz w:val="20"/>
                <w:szCs w:val="20"/>
              </w:rPr>
              <w:t>pdf o como imágenes, infográficos, entre otros).</w:t>
            </w:r>
          </w:p>
          <w:p w:rsidR="006C43FB" w:rsidRPr="00037664" w:rsidRDefault="006C43FB" w:rsidP="005002F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43FB" w:rsidRPr="00037664" w:rsidRDefault="006C43FB" w:rsidP="005002F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3604">
              <w:rPr>
                <w:rFonts w:ascii="Arial" w:hAnsi="Arial" w:cs="Arial"/>
                <w:bCs/>
                <w:sz w:val="20"/>
                <w:szCs w:val="20"/>
              </w:rPr>
              <w:t>Se debe iniciar el desarrollo de aprendizajes esperados NUEVOS de acuerdo con el programa de estudio y el planeamiento presentado en la Caja de Herramientas.</w:t>
            </w:r>
            <w:r w:rsidRPr="00037664">
              <w:rPr>
                <w:rFonts w:ascii="Arial" w:hAnsi="Arial" w:cs="Arial"/>
                <w:sz w:val="20"/>
                <w:szCs w:val="20"/>
              </w:rPr>
              <w:t xml:space="preserve"> Cada docente conoce las principales necesidades de sus estudiantes y, a partir de ellas, puede enfatizar la asignación de actividades de repaso o refuerzo específico. El tiempo estimado de ejecución de las Guías de trabajo autónomo y la cantidad que se asigne por estudiante, por semana, su expansión, profundidad y complejidad dependerá de las decisiones que en el nivel docente y dirección institucional se definan conforme con las características y modalidad de la institución, así como con las características de las familias y los estudiantes que se atienden tomando en consideración el contexto que estamos viviendo en nuestro país y en el mundo.</w:t>
            </w:r>
          </w:p>
          <w:p w:rsidR="006C43FB" w:rsidRPr="00037664" w:rsidRDefault="006C43FB" w:rsidP="005002F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3FB" w:rsidRPr="00643309" w:rsidTr="006C43FB">
        <w:trPr>
          <w:gridAfter w:val="1"/>
          <w:wAfter w:w="11872" w:type="dxa"/>
        </w:trPr>
        <w:tc>
          <w:tcPr>
            <w:tcW w:w="1595" w:type="dxa"/>
            <w:shd w:val="clear" w:color="auto" w:fill="auto"/>
          </w:tcPr>
          <w:p w:rsidR="006C43FB" w:rsidRPr="00643309" w:rsidRDefault="006C43FB" w:rsidP="00EC6006">
            <w:pPr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</w:p>
        </w:tc>
      </w:tr>
      <w:tr w:rsidR="006C43FB" w:rsidRPr="00782EB8" w:rsidTr="006C43FB">
        <w:tc>
          <w:tcPr>
            <w:tcW w:w="13467" w:type="dxa"/>
            <w:gridSpan w:val="2"/>
          </w:tcPr>
          <w:p w:rsidR="006C43FB" w:rsidRDefault="006C43FB" w:rsidP="00A25E8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2907">
              <w:rPr>
                <w:rFonts w:ascii="Arial" w:hAnsi="Arial" w:cs="Arial"/>
                <w:sz w:val="20"/>
                <w:szCs w:val="20"/>
              </w:rPr>
              <w:t xml:space="preserve">Es importante que </w:t>
            </w:r>
            <w:r>
              <w:rPr>
                <w:rFonts w:ascii="Arial" w:hAnsi="Arial" w:cs="Arial"/>
                <w:sz w:val="20"/>
                <w:szCs w:val="20"/>
              </w:rPr>
              <w:t xml:space="preserve">de las guías de trabajo autónomo se </w:t>
            </w:r>
            <w:r w:rsidRPr="002D2907">
              <w:rPr>
                <w:rFonts w:ascii="Arial" w:hAnsi="Arial" w:cs="Arial"/>
                <w:sz w:val="20"/>
                <w:szCs w:val="20"/>
              </w:rPr>
              <w:t xml:space="preserve">emanen trabajos o productos concretos que evidencien o demuestren lo aprendido. Deben ser comprensibles. Recuerde que deben ser accesibles y permitir múltiples formas de brindar la información, con las indicaciones claras de lo que el estudiantado debe hacer. </w:t>
            </w:r>
          </w:p>
          <w:p w:rsidR="006C43FB" w:rsidRDefault="006C43FB" w:rsidP="00A25E8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2907">
              <w:rPr>
                <w:rFonts w:ascii="Arial" w:hAnsi="Arial" w:cs="Arial"/>
                <w:sz w:val="20"/>
                <w:szCs w:val="20"/>
              </w:rPr>
              <w:t>Recuerde motivar en todo momento y dar probabilidad de éxito, para que el estudiante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2907">
              <w:rPr>
                <w:rFonts w:ascii="Arial" w:hAnsi="Arial" w:cs="Arial"/>
                <w:sz w:val="20"/>
                <w:szCs w:val="20"/>
              </w:rPr>
              <w:t xml:space="preserve">tenga una conciencia de eficacia auto </w:t>
            </w:r>
            <w:proofErr w:type="gramStart"/>
            <w:r w:rsidRPr="002D2907">
              <w:rPr>
                <w:rFonts w:ascii="Arial" w:hAnsi="Arial" w:cs="Arial"/>
                <w:sz w:val="20"/>
                <w:szCs w:val="20"/>
              </w:rPr>
              <w:t>percibida</w:t>
            </w:r>
            <w:proofErr w:type="gramEnd"/>
            <w:r w:rsidRPr="002D290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C43FB" w:rsidRDefault="006C43FB" w:rsidP="00A25E8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43FB" w:rsidRPr="00A25E85" w:rsidRDefault="006C43FB" w:rsidP="00A25E8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E85">
              <w:rPr>
                <w:rFonts w:ascii="Arial" w:hAnsi="Arial" w:cs="Arial"/>
                <w:sz w:val="20"/>
                <w:szCs w:val="20"/>
              </w:rPr>
              <w:t>Las Guías de trabajo autónomo deben ser construidas poniendo en práctica múltiples formas de motivación, representación (con materiales diversos y accesibles) y expresión. Se debe tener muy presente los diferentes niveles de logro de cada una de las personas estudiantes.</w:t>
            </w:r>
          </w:p>
          <w:p w:rsidR="006C43FB" w:rsidRDefault="006C43FB" w:rsidP="00A25E8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E85">
              <w:rPr>
                <w:rFonts w:ascii="Arial" w:hAnsi="Arial" w:cs="Arial"/>
                <w:sz w:val="20"/>
                <w:szCs w:val="20"/>
              </w:rPr>
              <w:t>Es imperante que el diseño de los materiales considere el respeto hacia los ritmos y estilos de aprendizaje de las personas estudiantes, así como las adaptaciones de materiales a fin de que sean accesibles para el estudiantado con discapacidad.</w:t>
            </w:r>
          </w:p>
          <w:p w:rsidR="006C43FB" w:rsidRPr="00283604" w:rsidRDefault="006C43FB" w:rsidP="0027388A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002FC">
              <w:rPr>
                <w:rFonts w:ascii="Arial" w:hAnsi="Arial" w:cs="Arial"/>
                <w:sz w:val="20"/>
                <w:szCs w:val="20"/>
              </w:rPr>
              <w:t>Cada educador tiene su e</w:t>
            </w:r>
            <w:r>
              <w:rPr>
                <w:rFonts w:ascii="Arial" w:hAnsi="Arial" w:cs="Arial"/>
                <w:sz w:val="20"/>
                <w:szCs w:val="20"/>
              </w:rPr>
              <w:t>stilo personal de planificación, sea creativo e imprima en su trabajo las características disciplinarias de la asignatura que desarrolla.</w:t>
            </w:r>
            <w:r w:rsidRPr="005002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Recuerde </w:t>
            </w:r>
            <w:r w:rsidRPr="00283604">
              <w:rPr>
                <w:rFonts w:ascii="Arial" w:hAnsi="Arial" w:cs="Arial"/>
                <w:bCs/>
                <w:sz w:val="20"/>
                <w:szCs w:val="20"/>
              </w:rPr>
              <w:t>mantener las actividades de preparación o planificación, profundización, aplicación y evaluación formativa.</w:t>
            </w:r>
          </w:p>
          <w:p w:rsidR="006C43FB" w:rsidRDefault="006C43FB" w:rsidP="002738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43FB" w:rsidRDefault="006C43FB" w:rsidP="002738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¿Verdad que las 4 dimensiones y las habilidades de la Transformación Curricular se adaptan súper bien para que realicemos este trabajo? ¡Qué oportunidad para apropiarnos de la tecnologías, para desarrollar habilidades y aprender a conocer mejor como aprendo!</w:t>
            </w:r>
          </w:p>
          <w:p w:rsidR="006C43FB" w:rsidRDefault="006C43FB" w:rsidP="002738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imaginan que incorporemos a nuestra vida la habilidad de planificar lo que hacemos, saber que requiero, cuánto tiempo o recursos necesito, qué fortalezas tengo para realizar una tarea y cuáles son mis áreas más débiles y cómo buscar fortalecerlas y además a estar pendiente si realizo bien el trabajo, cómo lo puedo mejorar y cómo evalúo mi propio esfuerzo al final una tarea ¡Ánimo, aprendamos a aprender!</w:t>
            </w:r>
          </w:p>
          <w:p w:rsidR="006C43FB" w:rsidRPr="00782EB8" w:rsidRDefault="006C43FB" w:rsidP="00623A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C43FB" w:rsidRPr="00782EB8" w:rsidTr="006C43FB">
        <w:tc>
          <w:tcPr>
            <w:tcW w:w="13467" w:type="dxa"/>
            <w:gridSpan w:val="2"/>
            <w:shd w:val="clear" w:color="auto" w:fill="FFFFFF" w:themeFill="background1"/>
          </w:tcPr>
          <w:p w:rsidR="006C43FB" w:rsidRPr="00E243D0" w:rsidRDefault="006C43FB" w:rsidP="005E2D6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</w:tbl>
    <w:p w:rsidR="001574EC" w:rsidRDefault="001574EC" w:rsidP="00587506"/>
    <w:sectPr w:rsidR="001574EC" w:rsidSect="00ED726F">
      <w:pgSz w:w="15840" w:h="12240" w:orient="landscape"/>
      <w:pgMar w:top="1134" w:right="1418" w:bottom="170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3BC" w:rsidRDefault="003A03BC" w:rsidP="00FE6433">
      <w:pPr>
        <w:spacing w:after="0" w:line="240" w:lineRule="auto"/>
      </w:pPr>
      <w:r>
        <w:separator/>
      </w:r>
    </w:p>
  </w:endnote>
  <w:endnote w:type="continuationSeparator" w:id="0">
    <w:p w:rsidR="003A03BC" w:rsidRDefault="003A03BC" w:rsidP="00FE6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3BC" w:rsidRDefault="003A03BC" w:rsidP="00FE6433">
      <w:pPr>
        <w:spacing w:after="0" w:line="240" w:lineRule="auto"/>
      </w:pPr>
      <w:r>
        <w:separator/>
      </w:r>
    </w:p>
  </w:footnote>
  <w:footnote w:type="continuationSeparator" w:id="0">
    <w:p w:rsidR="003A03BC" w:rsidRDefault="003A03BC" w:rsidP="00FE6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4BB2"/>
    <w:multiLevelType w:val="hybridMultilevel"/>
    <w:tmpl w:val="6CF8BF8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F1123"/>
    <w:multiLevelType w:val="hybridMultilevel"/>
    <w:tmpl w:val="B862190A"/>
    <w:lvl w:ilvl="0" w:tplc="2F34251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5D67A0"/>
    <w:multiLevelType w:val="hybridMultilevel"/>
    <w:tmpl w:val="9006D53E"/>
    <w:lvl w:ilvl="0" w:tplc="3A6E0A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F72BE"/>
    <w:multiLevelType w:val="hybridMultilevel"/>
    <w:tmpl w:val="8B0A9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00322"/>
    <w:multiLevelType w:val="hybridMultilevel"/>
    <w:tmpl w:val="9006D53E"/>
    <w:lvl w:ilvl="0" w:tplc="3A6E0A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F4065"/>
    <w:multiLevelType w:val="hybridMultilevel"/>
    <w:tmpl w:val="D70CA18E"/>
    <w:lvl w:ilvl="0" w:tplc="977298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7240FF"/>
    <w:multiLevelType w:val="hybridMultilevel"/>
    <w:tmpl w:val="03CE319E"/>
    <w:lvl w:ilvl="0" w:tplc="91EC9EA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4380C"/>
    <w:multiLevelType w:val="hybridMultilevel"/>
    <w:tmpl w:val="CB6EB790"/>
    <w:lvl w:ilvl="0" w:tplc="1196222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157A66"/>
    <w:multiLevelType w:val="hybridMultilevel"/>
    <w:tmpl w:val="EFBA413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407614"/>
    <w:multiLevelType w:val="hybridMultilevel"/>
    <w:tmpl w:val="DA72E25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40347"/>
    <w:multiLevelType w:val="hybridMultilevel"/>
    <w:tmpl w:val="B8984B2A"/>
    <w:lvl w:ilvl="0" w:tplc="0C823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FE8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AE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FC0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E7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1CC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26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321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86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BBD7206"/>
    <w:multiLevelType w:val="hybridMultilevel"/>
    <w:tmpl w:val="B62E7FC2"/>
    <w:lvl w:ilvl="0" w:tplc="9DAE9C40">
      <w:start w:val="1"/>
      <w:numFmt w:val="upperRoman"/>
      <w:lvlText w:val="%1."/>
      <w:lvlJc w:val="left"/>
      <w:pPr>
        <w:ind w:left="870" w:hanging="720"/>
      </w:pPr>
      <w:rPr>
        <w:rFonts w:hint="default"/>
        <w:sz w:val="28"/>
      </w:rPr>
    </w:lvl>
    <w:lvl w:ilvl="1" w:tplc="140A0019" w:tentative="1">
      <w:start w:val="1"/>
      <w:numFmt w:val="lowerLetter"/>
      <w:lvlText w:val="%2."/>
      <w:lvlJc w:val="left"/>
      <w:pPr>
        <w:ind w:left="1230" w:hanging="360"/>
      </w:pPr>
    </w:lvl>
    <w:lvl w:ilvl="2" w:tplc="140A001B" w:tentative="1">
      <w:start w:val="1"/>
      <w:numFmt w:val="lowerRoman"/>
      <w:lvlText w:val="%3."/>
      <w:lvlJc w:val="right"/>
      <w:pPr>
        <w:ind w:left="1950" w:hanging="180"/>
      </w:pPr>
    </w:lvl>
    <w:lvl w:ilvl="3" w:tplc="140A000F" w:tentative="1">
      <w:start w:val="1"/>
      <w:numFmt w:val="decimal"/>
      <w:lvlText w:val="%4."/>
      <w:lvlJc w:val="left"/>
      <w:pPr>
        <w:ind w:left="2670" w:hanging="360"/>
      </w:pPr>
    </w:lvl>
    <w:lvl w:ilvl="4" w:tplc="140A0019" w:tentative="1">
      <w:start w:val="1"/>
      <w:numFmt w:val="lowerLetter"/>
      <w:lvlText w:val="%5."/>
      <w:lvlJc w:val="left"/>
      <w:pPr>
        <w:ind w:left="3390" w:hanging="360"/>
      </w:pPr>
    </w:lvl>
    <w:lvl w:ilvl="5" w:tplc="140A001B" w:tentative="1">
      <w:start w:val="1"/>
      <w:numFmt w:val="lowerRoman"/>
      <w:lvlText w:val="%6."/>
      <w:lvlJc w:val="right"/>
      <w:pPr>
        <w:ind w:left="4110" w:hanging="180"/>
      </w:pPr>
    </w:lvl>
    <w:lvl w:ilvl="6" w:tplc="140A000F" w:tentative="1">
      <w:start w:val="1"/>
      <w:numFmt w:val="decimal"/>
      <w:lvlText w:val="%7."/>
      <w:lvlJc w:val="left"/>
      <w:pPr>
        <w:ind w:left="4830" w:hanging="360"/>
      </w:pPr>
    </w:lvl>
    <w:lvl w:ilvl="7" w:tplc="140A0019" w:tentative="1">
      <w:start w:val="1"/>
      <w:numFmt w:val="lowerLetter"/>
      <w:lvlText w:val="%8."/>
      <w:lvlJc w:val="left"/>
      <w:pPr>
        <w:ind w:left="5550" w:hanging="360"/>
      </w:pPr>
    </w:lvl>
    <w:lvl w:ilvl="8" w:tplc="140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737C1C4B"/>
    <w:multiLevelType w:val="hybridMultilevel"/>
    <w:tmpl w:val="C1E2AEF0"/>
    <w:lvl w:ilvl="0" w:tplc="CE867D7E">
      <w:start w:val="1"/>
      <w:numFmt w:val="lowerLetter"/>
      <w:lvlText w:val="%1)"/>
      <w:lvlJc w:val="left"/>
      <w:pPr>
        <w:ind w:left="1065" w:hanging="705"/>
      </w:pPr>
      <w:rPr>
        <w:rFonts w:asciiTheme="minorHAnsi" w:hAnsiTheme="minorHAnsi" w:hint="default"/>
        <w:b w:val="0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770C2"/>
    <w:multiLevelType w:val="hybridMultilevel"/>
    <w:tmpl w:val="12B62C8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0"/>
  </w:num>
  <w:num w:numId="8">
    <w:abstractNumId w:val="13"/>
  </w:num>
  <w:num w:numId="9">
    <w:abstractNumId w:val="10"/>
  </w:num>
  <w:num w:numId="10">
    <w:abstractNumId w:val="12"/>
  </w:num>
  <w:num w:numId="11">
    <w:abstractNumId w:val="6"/>
  </w:num>
  <w:num w:numId="12">
    <w:abstractNumId w:val="11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28A"/>
    <w:rsid w:val="000007E0"/>
    <w:rsid w:val="000063A2"/>
    <w:rsid w:val="000065A6"/>
    <w:rsid w:val="00027C39"/>
    <w:rsid w:val="00037664"/>
    <w:rsid w:val="00037878"/>
    <w:rsid w:val="0004409E"/>
    <w:rsid w:val="000444AA"/>
    <w:rsid w:val="0004547B"/>
    <w:rsid w:val="000668B7"/>
    <w:rsid w:val="00067C97"/>
    <w:rsid w:val="00094743"/>
    <w:rsid w:val="000B45B3"/>
    <w:rsid w:val="000B73DA"/>
    <w:rsid w:val="000B7AFA"/>
    <w:rsid w:val="000C467F"/>
    <w:rsid w:val="000C4CA9"/>
    <w:rsid w:val="000D3BBB"/>
    <w:rsid w:val="000E21A9"/>
    <w:rsid w:val="000F18D8"/>
    <w:rsid w:val="000F4C7D"/>
    <w:rsid w:val="000F75F1"/>
    <w:rsid w:val="00142043"/>
    <w:rsid w:val="001440AD"/>
    <w:rsid w:val="00146AED"/>
    <w:rsid w:val="00147D99"/>
    <w:rsid w:val="001574EC"/>
    <w:rsid w:val="00161006"/>
    <w:rsid w:val="00166F82"/>
    <w:rsid w:val="00180563"/>
    <w:rsid w:val="001A5225"/>
    <w:rsid w:val="001A6A30"/>
    <w:rsid w:val="001A705E"/>
    <w:rsid w:val="001D1E6F"/>
    <w:rsid w:val="001D568D"/>
    <w:rsid w:val="001D73D1"/>
    <w:rsid w:val="001D78B5"/>
    <w:rsid w:val="001E1EAA"/>
    <w:rsid w:val="001E373F"/>
    <w:rsid w:val="001E5700"/>
    <w:rsid w:val="001E69AE"/>
    <w:rsid w:val="001F0406"/>
    <w:rsid w:val="002032A0"/>
    <w:rsid w:val="00231E72"/>
    <w:rsid w:val="00235617"/>
    <w:rsid w:val="002375DE"/>
    <w:rsid w:val="00240133"/>
    <w:rsid w:val="00240F24"/>
    <w:rsid w:val="00243906"/>
    <w:rsid w:val="002447D0"/>
    <w:rsid w:val="00260032"/>
    <w:rsid w:val="0027388A"/>
    <w:rsid w:val="00273B3D"/>
    <w:rsid w:val="00277C42"/>
    <w:rsid w:val="00283604"/>
    <w:rsid w:val="002937D2"/>
    <w:rsid w:val="0029444F"/>
    <w:rsid w:val="002A6CA8"/>
    <w:rsid w:val="002B1BF4"/>
    <w:rsid w:val="002B5DAA"/>
    <w:rsid w:val="002C7BDC"/>
    <w:rsid w:val="002D2907"/>
    <w:rsid w:val="002E12FF"/>
    <w:rsid w:val="002F00A5"/>
    <w:rsid w:val="002F48CB"/>
    <w:rsid w:val="002F7CA5"/>
    <w:rsid w:val="00302783"/>
    <w:rsid w:val="00304F5D"/>
    <w:rsid w:val="00327A5E"/>
    <w:rsid w:val="0033212D"/>
    <w:rsid w:val="0033798D"/>
    <w:rsid w:val="00341B3D"/>
    <w:rsid w:val="00386D8E"/>
    <w:rsid w:val="00393A26"/>
    <w:rsid w:val="00394F33"/>
    <w:rsid w:val="0039603F"/>
    <w:rsid w:val="003A03BC"/>
    <w:rsid w:val="003A7EC4"/>
    <w:rsid w:val="003B1D64"/>
    <w:rsid w:val="003C7F3E"/>
    <w:rsid w:val="003D5C66"/>
    <w:rsid w:val="003E04A6"/>
    <w:rsid w:val="003E1538"/>
    <w:rsid w:val="003E7A93"/>
    <w:rsid w:val="003F0D68"/>
    <w:rsid w:val="00427AB4"/>
    <w:rsid w:val="00445013"/>
    <w:rsid w:val="004475D7"/>
    <w:rsid w:val="004552D5"/>
    <w:rsid w:val="0045746B"/>
    <w:rsid w:val="00472365"/>
    <w:rsid w:val="00492FCB"/>
    <w:rsid w:val="004B23E6"/>
    <w:rsid w:val="004B47DA"/>
    <w:rsid w:val="004B4BD5"/>
    <w:rsid w:val="004C7FC3"/>
    <w:rsid w:val="004F6B3B"/>
    <w:rsid w:val="005002FC"/>
    <w:rsid w:val="00514F1D"/>
    <w:rsid w:val="00521015"/>
    <w:rsid w:val="005230E8"/>
    <w:rsid w:val="00531929"/>
    <w:rsid w:val="005372B0"/>
    <w:rsid w:val="00541D5D"/>
    <w:rsid w:val="005434BE"/>
    <w:rsid w:val="0055137D"/>
    <w:rsid w:val="00556B3B"/>
    <w:rsid w:val="005734D0"/>
    <w:rsid w:val="005749EF"/>
    <w:rsid w:val="00574F19"/>
    <w:rsid w:val="0057533A"/>
    <w:rsid w:val="00585A32"/>
    <w:rsid w:val="00585BD5"/>
    <w:rsid w:val="00587506"/>
    <w:rsid w:val="00591D24"/>
    <w:rsid w:val="005B418E"/>
    <w:rsid w:val="005C1214"/>
    <w:rsid w:val="005C52BB"/>
    <w:rsid w:val="005D0C13"/>
    <w:rsid w:val="005D2729"/>
    <w:rsid w:val="005D2DD7"/>
    <w:rsid w:val="005E260F"/>
    <w:rsid w:val="005E2D64"/>
    <w:rsid w:val="005F1B58"/>
    <w:rsid w:val="005F5AE8"/>
    <w:rsid w:val="0060368D"/>
    <w:rsid w:val="00612650"/>
    <w:rsid w:val="006140B9"/>
    <w:rsid w:val="00622A2C"/>
    <w:rsid w:val="00623AD6"/>
    <w:rsid w:val="006246A9"/>
    <w:rsid w:val="00632703"/>
    <w:rsid w:val="00633215"/>
    <w:rsid w:val="00642707"/>
    <w:rsid w:val="00643309"/>
    <w:rsid w:val="0066346B"/>
    <w:rsid w:val="00666565"/>
    <w:rsid w:val="00671FE2"/>
    <w:rsid w:val="00680692"/>
    <w:rsid w:val="00695EA8"/>
    <w:rsid w:val="006B6FE2"/>
    <w:rsid w:val="006C2BCC"/>
    <w:rsid w:val="006C43FB"/>
    <w:rsid w:val="006C7820"/>
    <w:rsid w:val="006F07BB"/>
    <w:rsid w:val="006F20A2"/>
    <w:rsid w:val="0070108C"/>
    <w:rsid w:val="0071045E"/>
    <w:rsid w:val="00712C8F"/>
    <w:rsid w:val="0071697A"/>
    <w:rsid w:val="0073321D"/>
    <w:rsid w:val="0074148A"/>
    <w:rsid w:val="007465F9"/>
    <w:rsid w:val="00762172"/>
    <w:rsid w:val="00766708"/>
    <w:rsid w:val="007717B1"/>
    <w:rsid w:val="00771CC2"/>
    <w:rsid w:val="00777077"/>
    <w:rsid w:val="00777D46"/>
    <w:rsid w:val="00782EB8"/>
    <w:rsid w:val="00797253"/>
    <w:rsid w:val="007E66CE"/>
    <w:rsid w:val="00805A43"/>
    <w:rsid w:val="00807702"/>
    <w:rsid w:val="00815075"/>
    <w:rsid w:val="00824B54"/>
    <w:rsid w:val="008250FC"/>
    <w:rsid w:val="008257A2"/>
    <w:rsid w:val="00826BCB"/>
    <w:rsid w:val="008443B2"/>
    <w:rsid w:val="00853A64"/>
    <w:rsid w:val="00860462"/>
    <w:rsid w:val="00864BC8"/>
    <w:rsid w:val="00865C7F"/>
    <w:rsid w:val="00867D71"/>
    <w:rsid w:val="00872E99"/>
    <w:rsid w:val="00881755"/>
    <w:rsid w:val="00883727"/>
    <w:rsid w:val="008A7CCB"/>
    <w:rsid w:val="008C6497"/>
    <w:rsid w:val="008E0A23"/>
    <w:rsid w:val="008F044B"/>
    <w:rsid w:val="00900A37"/>
    <w:rsid w:val="0091646E"/>
    <w:rsid w:val="00917DD0"/>
    <w:rsid w:val="009200A4"/>
    <w:rsid w:val="009218E4"/>
    <w:rsid w:val="009271AC"/>
    <w:rsid w:val="00937422"/>
    <w:rsid w:val="00942D4B"/>
    <w:rsid w:val="00950A3C"/>
    <w:rsid w:val="00963F6B"/>
    <w:rsid w:val="00974014"/>
    <w:rsid w:val="00983D34"/>
    <w:rsid w:val="009911CF"/>
    <w:rsid w:val="0099170A"/>
    <w:rsid w:val="0099538B"/>
    <w:rsid w:val="0099703B"/>
    <w:rsid w:val="009A2569"/>
    <w:rsid w:val="009C3EEE"/>
    <w:rsid w:val="009D6C5F"/>
    <w:rsid w:val="009E1A2D"/>
    <w:rsid w:val="009F757A"/>
    <w:rsid w:val="00A107B0"/>
    <w:rsid w:val="00A24BE9"/>
    <w:rsid w:val="00A25E85"/>
    <w:rsid w:val="00A269C6"/>
    <w:rsid w:val="00A3498E"/>
    <w:rsid w:val="00A5728A"/>
    <w:rsid w:val="00A62707"/>
    <w:rsid w:val="00A6290B"/>
    <w:rsid w:val="00A82D62"/>
    <w:rsid w:val="00A93184"/>
    <w:rsid w:val="00A93785"/>
    <w:rsid w:val="00AA52ED"/>
    <w:rsid w:val="00AB775A"/>
    <w:rsid w:val="00AD6ED2"/>
    <w:rsid w:val="00B478D4"/>
    <w:rsid w:val="00B573B4"/>
    <w:rsid w:val="00B62021"/>
    <w:rsid w:val="00B70D44"/>
    <w:rsid w:val="00B7536B"/>
    <w:rsid w:val="00B77A27"/>
    <w:rsid w:val="00B854A4"/>
    <w:rsid w:val="00B85657"/>
    <w:rsid w:val="00B8778E"/>
    <w:rsid w:val="00B94CAB"/>
    <w:rsid w:val="00B964AB"/>
    <w:rsid w:val="00BA3990"/>
    <w:rsid w:val="00BA426E"/>
    <w:rsid w:val="00BA5256"/>
    <w:rsid w:val="00BA7EFA"/>
    <w:rsid w:val="00BB158D"/>
    <w:rsid w:val="00BC74A5"/>
    <w:rsid w:val="00BD1060"/>
    <w:rsid w:val="00BD45FB"/>
    <w:rsid w:val="00BE1487"/>
    <w:rsid w:val="00C04A40"/>
    <w:rsid w:val="00C055D5"/>
    <w:rsid w:val="00C0642B"/>
    <w:rsid w:val="00C0718A"/>
    <w:rsid w:val="00C14804"/>
    <w:rsid w:val="00C25938"/>
    <w:rsid w:val="00C51CCD"/>
    <w:rsid w:val="00C55752"/>
    <w:rsid w:val="00C637CF"/>
    <w:rsid w:val="00C64BC0"/>
    <w:rsid w:val="00C759EA"/>
    <w:rsid w:val="00C8133E"/>
    <w:rsid w:val="00C8261A"/>
    <w:rsid w:val="00C86694"/>
    <w:rsid w:val="00C9297C"/>
    <w:rsid w:val="00C97395"/>
    <w:rsid w:val="00CC3C8E"/>
    <w:rsid w:val="00CF2257"/>
    <w:rsid w:val="00D01A97"/>
    <w:rsid w:val="00D03187"/>
    <w:rsid w:val="00D16E0A"/>
    <w:rsid w:val="00D32B94"/>
    <w:rsid w:val="00D64520"/>
    <w:rsid w:val="00D654E0"/>
    <w:rsid w:val="00D65F36"/>
    <w:rsid w:val="00D700C5"/>
    <w:rsid w:val="00D87F75"/>
    <w:rsid w:val="00D9166E"/>
    <w:rsid w:val="00D9609D"/>
    <w:rsid w:val="00DB772C"/>
    <w:rsid w:val="00DD60F4"/>
    <w:rsid w:val="00DD65F6"/>
    <w:rsid w:val="00DF2536"/>
    <w:rsid w:val="00DF2A9D"/>
    <w:rsid w:val="00E05911"/>
    <w:rsid w:val="00E218AC"/>
    <w:rsid w:val="00E2432C"/>
    <w:rsid w:val="00E243D0"/>
    <w:rsid w:val="00E2693D"/>
    <w:rsid w:val="00E4424C"/>
    <w:rsid w:val="00E72FCD"/>
    <w:rsid w:val="00E91BD7"/>
    <w:rsid w:val="00E970BF"/>
    <w:rsid w:val="00EC6006"/>
    <w:rsid w:val="00ED20D4"/>
    <w:rsid w:val="00ED726F"/>
    <w:rsid w:val="00EE1EF1"/>
    <w:rsid w:val="00EF47E6"/>
    <w:rsid w:val="00F0040B"/>
    <w:rsid w:val="00F0218A"/>
    <w:rsid w:val="00F06A53"/>
    <w:rsid w:val="00F147B5"/>
    <w:rsid w:val="00F21667"/>
    <w:rsid w:val="00F308A7"/>
    <w:rsid w:val="00F31144"/>
    <w:rsid w:val="00F53C41"/>
    <w:rsid w:val="00F71755"/>
    <w:rsid w:val="00F730CC"/>
    <w:rsid w:val="00F80C25"/>
    <w:rsid w:val="00F9370C"/>
    <w:rsid w:val="00FB2759"/>
    <w:rsid w:val="00FC34FC"/>
    <w:rsid w:val="00FC4150"/>
    <w:rsid w:val="00FD1210"/>
    <w:rsid w:val="00FE0BEB"/>
    <w:rsid w:val="00FE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7C"/>
  </w:style>
  <w:style w:type="paragraph" w:styleId="Ttulo1">
    <w:name w:val="heading 1"/>
    <w:basedOn w:val="Normal"/>
    <w:next w:val="Normal"/>
    <w:link w:val="Ttulo1Car"/>
    <w:uiPriority w:val="9"/>
    <w:qFormat/>
    <w:rsid w:val="00F06A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00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A572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57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rsid w:val="00332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E64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6433"/>
  </w:style>
  <w:style w:type="paragraph" w:styleId="Piedepgina">
    <w:name w:val="footer"/>
    <w:basedOn w:val="Normal"/>
    <w:link w:val="PiedepginaCar"/>
    <w:uiPriority w:val="99"/>
    <w:unhideWhenUsed/>
    <w:rsid w:val="00FE64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6433"/>
  </w:style>
  <w:style w:type="character" w:styleId="Hipervnculo">
    <w:name w:val="Hyperlink"/>
    <w:basedOn w:val="Fuentedeprrafopredeter"/>
    <w:uiPriority w:val="99"/>
    <w:unhideWhenUsed/>
    <w:rsid w:val="002F48CB"/>
    <w:rPr>
      <w:color w:val="9454C3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2F48CB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F71755"/>
    <w:rPr>
      <w:color w:val="3EBBF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3C7F3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450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50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50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50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501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5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013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D700C5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F06A53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table" w:customStyle="1" w:styleId="Tablaconcuadrcula5oscura-nfasis21">
    <w:name w:val="Tabla con cuadrícula 5 oscura - Énfasis 21"/>
    <w:basedOn w:val="Tablanormal"/>
    <w:uiPriority w:val="50"/>
    <w:rsid w:val="00591D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customStyle="1" w:styleId="Tablaconcuadrcula5oscura-nfasis51">
    <w:name w:val="Tabla con cuadrícula 5 oscura - Énfasis 51"/>
    <w:basedOn w:val="Tablanormal"/>
    <w:uiPriority w:val="50"/>
    <w:rsid w:val="00591D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paragraph" w:styleId="Sinespaciado">
    <w:name w:val="No Spacing"/>
    <w:uiPriority w:val="1"/>
    <w:qFormat/>
    <w:rsid w:val="006246A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C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Damask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Damask">
      <a:majorFont>
        <a:latin typeface="Bookman Old Style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Damask" id="{F9A299A0-33D0-4E0F-9F3F-7163E3744208}" vid="{746EEEEA-FB6A-406B-B510-531588D5481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781B0-0633-4558-BD3E-CE9DAF88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1511</Words>
  <Characters>8311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Perez Ramirez</dc:creator>
  <cp:lastModifiedBy>Richard Navarro</cp:lastModifiedBy>
  <cp:revision>2</cp:revision>
  <cp:lastPrinted>2018-05-22T17:06:00Z</cp:lastPrinted>
  <dcterms:created xsi:type="dcterms:W3CDTF">2020-04-14T16:44:00Z</dcterms:created>
  <dcterms:modified xsi:type="dcterms:W3CDTF">2020-04-14T16:44:00Z</dcterms:modified>
</cp:coreProperties>
</file>