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BA2" w:rsidRPr="00D07BA2" w:rsidRDefault="00D07BA2" w:rsidP="00D07BA2">
      <w:pPr>
        <w:spacing w:after="0" w:line="240" w:lineRule="auto"/>
        <w:jc w:val="center"/>
        <w:rPr>
          <w:b/>
        </w:rPr>
      </w:pPr>
      <w:r w:rsidRPr="00D07BA2">
        <w:rPr>
          <w:b/>
        </w:rPr>
        <w:t xml:space="preserve">Lineamientos generales para el planeamiento de </w:t>
      </w:r>
    </w:p>
    <w:p w:rsidR="00D07BA2" w:rsidRPr="00D07BA2" w:rsidRDefault="00D07BA2" w:rsidP="00D07BA2">
      <w:pPr>
        <w:spacing w:after="0" w:line="240" w:lineRule="auto"/>
        <w:jc w:val="center"/>
        <w:rPr>
          <w:b/>
        </w:rPr>
      </w:pPr>
      <w:r w:rsidRPr="00D07BA2">
        <w:rPr>
          <w:b/>
        </w:rPr>
        <w:t>Español en Primer Ciclo y Segundo Ciclo</w:t>
      </w:r>
    </w:p>
    <w:p w:rsidR="00D07BA2" w:rsidRPr="00D07BA2" w:rsidRDefault="00D07BA2" w:rsidP="00D07BA2">
      <w:pPr>
        <w:spacing w:after="0" w:line="240" w:lineRule="auto"/>
        <w:jc w:val="center"/>
      </w:pPr>
    </w:p>
    <w:p w:rsidR="00D07BA2" w:rsidRPr="00D07BA2" w:rsidRDefault="00D07BA2" w:rsidP="00D07BA2">
      <w:pPr>
        <w:pStyle w:val="Prrafodelista"/>
        <w:numPr>
          <w:ilvl w:val="0"/>
          <w:numId w:val="8"/>
        </w:numPr>
        <w:spacing w:after="0" w:line="240" w:lineRule="auto"/>
        <w:ind w:left="0"/>
        <w:jc w:val="both"/>
      </w:pPr>
      <w:r w:rsidRPr="00D07BA2">
        <w:t xml:space="preserve">Las actividades de mediación para desarrollar las lecciones de </w:t>
      </w:r>
      <w:proofErr w:type="gramStart"/>
      <w:r w:rsidRPr="00D07BA2">
        <w:t>Español</w:t>
      </w:r>
      <w:proofErr w:type="gramEnd"/>
      <w:r w:rsidRPr="00D07BA2">
        <w:t xml:space="preserve"> en primaria, se elaboran considerando los tres momentos claves para el abordaje de los contenidos curriculares correspondientes (inicio, desarrollo y cierre).</w:t>
      </w:r>
    </w:p>
    <w:p w:rsidR="00D07BA2" w:rsidRPr="00D07BA2" w:rsidRDefault="00D07BA2" w:rsidP="00D07BA2">
      <w:pPr>
        <w:pStyle w:val="Prrafodelista"/>
        <w:numPr>
          <w:ilvl w:val="0"/>
          <w:numId w:val="8"/>
        </w:numPr>
        <w:spacing w:after="0" w:line="240" w:lineRule="auto"/>
        <w:ind w:left="0"/>
        <w:jc w:val="both"/>
      </w:pPr>
      <w:r w:rsidRPr="00D07BA2">
        <w:t>Las actividades de mediación se redactan de manera muy detallada y en tercera persona singular.</w:t>
      </w:r>
    </w:p>
    <w:p w:rsidR="00D07BA2" w:rsidRPr="00D07BA2" w:rsidRDefault="00D07BA2" w:rsidP="00D07BA2">
      <w:pPr>
        <w:pStyle w:val="Prrafodelista"/>
        <w:numPr>
          <w:ilvl w:val="0"/>
          <w:numId w:val="8"/>
        </w:numPr>
        <w:spacing w:after="0" w:line="240" w:lineRule="auto"/>
        <w:ind w:left="0"/>
        <w:jc w:val="both"/>
      </w:pPr>
      <w:r w:rsidRPr="00D07BA2">
        <w:t xml:space="preserve">El contenido curricular actitudinal correspondiente debe evidenciarse en la redacción de alguna de las actividades de mediación y se subraya o escribe con letra negrita o de otro color. </w:t>
      </w:r>
    </w:p>
    <w:p w:rsidR="00D07BA2" w:rsidRPr="00D07BA2" w:rsidRDefault="00D07BA2" w:rsidP="00D07BA2">
      <w:pPr>
        <w:pStyle w:val="Prrafodelista"/>
        <w:numPr>
          <w:ilvl w:val="0"/>
          <w:numId w:val="8"/>
        </w:numPr>
        <w:spacing w:after="0" w:line="240" w:lineRule="auto"/>
        <w:ind w:left="0"/>
        <w:jc w:val="both"/>
      </w:pPr>
      <w:r w:rsidRPr="00D07BA2">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D07BA2" w:rsidRPr="00D07BA2" w:rsidRDefault="00D07BA2" w:rsidP="00D07BA2">
      <w:pPr>
        <w:pStyle w:val="Prrafodelista"/>
        <w:numPr>
          <w:ilvl w:val="0"/>
          <w:numId w:val="8"/>
        </w:numPr>
        <w:spacing w:after="0" w:line="240" w:lineRule="auto"/>
        <w:ind w:left="0"/>
        <w:jc w:val="both"/>
      </w:pPr>
      <w:r w:rsidRPr="00D07BA2">
        <w:t xml:space="preserve">Para efectos de la planificación de las clases es relevante considerar lo dispuesto en el acuerdo del Consejo </w:t>
      </w:r>
      <w:r w:rsidR="002120A1">
        <w:t>Superior de Educación 04-36-2017</w:t>
      </w:r>
      <w:r w:rsidRPr="00D07BA2">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D07BA2" w:rsidRPr="00D07BA2" w:rsidRDefault="00D07BA2" w:rsidP="00D07BA2">
      <w:pPr>
        <w:pStyle w:val="Prrafodelista"/>
        <w:numPr>
          <w:ilvl w:val="0"/>
          <w:numId w:val="8"/>
        </w:numPr>
        <w:spacing w:after="0" w:line="240" w:lineRule="auto"/>
        <w:ind w:left="0"/>
        <w:jc w:val="both"/>
      </w:pPr>
      <w:r w:rsidRPr="00D07BA2">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D07BA2">
        <w:rPr>
          <w:b/>
        </w:rPr>
        <w:t>DVM-AC-0015-01-2017</w:t>
      </w:r>
      <w:r w:rsidRPr="00D07BA2">
        <w:t xml:space="preserve">. </w:t>
      </w:r>
    </w:p>
    <w:p w:rsidR="00D07BA2" w:rsidRPr="00D07BA2" w:rsidRDefault="00D07BA2" w:rsidP="00D07BA2">
      <w:pPr>
        <w:pStyle w:val="Prrafodelista"/>
        <w:numPr>
          <w:ilvl w:val="0"/>
          <w:numId w:val="8"/>
        </w:numPr>
        <w:spacing w:after="0" w:line="240" w:lineRule="auto"/>
        <w:ind w:left="0"/>
        <w:jc w:val="both"/>
      </w:pPr>
      <w:r w:rsidRPr="00D07BA2">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D07BA2" w:rsidRPr="00D07BA2" w:rsidRDefault="00D07BA2" w:rsidP="00D07BA2">
      <w:pPr>
        <w:pStyle w:val="Prrafodelista"/>
        <w:numPr>
          <w:ilvl w:val="0"/>
          <w:numId w:val="8"/>
        </w:numPr>
        <w:spacing w:after="0" w:line="240" w:lineRule="auto"/>
        <w:ind w:left="0"/>
        <w:jc w:val="both"/>
      </w:pPr>
      <w:r w:rsidRPr="00D07BA2">
        <w:t>El contenido 4.1 de primer año se debe retomar periódicamente, cada vez que se trabaje el desarrollo o estimulación de la conciencia fonológica.</w:t>
      </w:r>
    </w:p>
    <w:p w:rsidR="00D07BA2" w:rsidRPr="00D07BA2" w:rsidRDefault="00D07BA2" w:rsidP="00D07BA2">
      <w:pPr>
        <w:pStyle w:val="Prrafodelista"/>
        <w:numPr>
          <w:ilvl w:val="0"/>
          <w:numId w:val="8"/>
        </w:numPr>
        <w:spacing w:after="0" w:line="240" w:lineRule="auto"/>
        <w:ind w:left="0"/>
        <w:jc w:val="both"/>
      </w:pPr>
      <w:r w:rsidRPr="00D07BA2">
        <w:t xml:space="preserve">Los contenidos curriculares no aparecen dosificados o divididos por período. Esto debido a que se reconoce la diversidad estudiantil en cuanto al ritmo de avance y las particularidades que presenta cada contexto. </w:t>
      </w:r>
    </w:p>
    <w:p w:rsidR="00D07BA2" w:rsidRPr="00D07BA2" w:rsidRDefault="00D07BA2" w:rsidP="00D07BA2">
      <w:pPr>
        <w:pStyle w:val="Prrafodelista"/>
        <w:numPr>
          <w:ilvl w:val="0"/>
          <w:numId w:val="8"/>
        </w:numPr>
        <w:spacing w:after="0" w:line="240" w:lineRule="auto"/>
        <w:ind w:left="0"/>
        <w:jc w:val="both"/>
      </w:pPr>
      <w:r w:rsidRPr="00D07BA2">
        <w:t>Debido a lo expuesto en el punto anterior, y como parte del proceso de lectoescritura, la unidad de articulación se abarca hacia el final del primer año, o bien, al iniciar el segundo año escolar.</w:t>
      </w:r>
    </w:p>
    <w:p w:rsidR="00D07BA2" w:rsidRPr="00D07BA2" w:rsidRDefault="00D07BA2" w:rsidP="00D07BA2">
      <w:pPr>
        <w:pStyle w:val="Prrafodelista"/>
        <w:numPr>
          <w:ilvl w:val="0"/>
          <w:numId w:val="8"/>
        </w:numPr>
        <w:spacing w:after="0" w:line="240" w:lineRule="auto"/>
        <w:ind w:left="0"/>
        <w:jc w:val="both"/>
      </w:pPr>
      <w:r w:rsidRPr="00D07BA2">
        <w:t xml:space="preserve">Existen contenidos curriculares procedimentales de Segundo Ciclo que, debido a la gran cantidad de contenidos curriculares conceptuales que poseen, deben retomarse durante diferentes momentos a lo largo del curso lectivo. </w:t>
      </w:r>
    </w:p>
    <w:p w:rsidR="00D07BA2" w:rsidRPr="00D07BA2" w:rsidRDefault="00D07BA2" w:rsidP="00D07BA2">
      <w:pPr>
        <w:pStyle w:val="Prrafodelista"/>
        <w:numPr>
          <w:ilvl w:val="0"/>
          <w:numId w:val="8"/>
        </w:numPr>
        <w:spacing w:after="0" w:line="240" w:lineRule="auto"/>
        <w:ind w:left="0"/>
        <w:jc w:val="both"/>
      </w:pPr>
      <w:r w:rsidRPr="00D07BA2">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D07BA2" w:rsidRPr="00D07BA2" w:rsidRDefault="00D07BA2" w:rsidP="00D07BA2">
      <w:pPr>
        <w:jc w:val="center"/>
        <w:rPr>
          <w:b/>
        </w:rPr>
      </w:pPr>
    </w:p>
    <w:p w:rsidR="00FC3DF4" w:rsidRDefault="00FC3DF4" w:rsidP="00FC3DF4">
      <w:pPr>
        <w:jc w:val="center"/>
        <w:rPr>
          <w:b/>
        </w:rPr>
      </w:pPr>
      <w:r w:rsidRPr="00D07BA2">
        <w:rPr>
          <w:b/>
        </w:rPr>
        <w:lastRenderedPageBreak/>
        <w:t xml:space="preserve">Plantilla de planeamiento didáctico de Español </w:t>
      </w:r>
    </w:p>
    <w:p w:rsidR="00BB6355" w:rsidRDefault="00BB6355" w:rsidP="00BB6355">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FC3DF4" w:rsidRPr="00D07BA2"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FC3DF4">
            <w:pPr>
              <w:pStyle w:val="Sinespaciado"/>
              <w:rPr>
                <w:rFonts w:asciiTheme="minorHAnsi" w:hAnsiTheme="minorHAnsi" w:cs="Arial"/>
                <w:sz w:val="22"/>
                <w:szCs w:val="22"/>
              </w:rPr>
            </w:pPr>
            <w:r w:rsidRPr="00D07BA2">
              <w:rPr>
                <w:rFonts w:asciiTheme="minorHAnsi" w:hAnsiTheme="minorHAnsi" w:cs="Arial"/>
                <w:b/>
                <w:sz w:val="22"/>
                <w:szCs w:val="22"/>
              </w:rPr>
              <w:t>Dirección Regional de Educación</w:t>
            </w:r>
            <w:r w:rsidRPr="00D07BA2">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FC3DF4">
            <w:pPr>
              <w:pStyle w:val="Sinespaciado"/>
              <w:rPr>
                <w:rFonts w:asciiTheme="minorHAnsi" w:hAnsiTheme="minorHAnsi" w:cs="Arial"/>
                <w:b/>
                <w:sz w:val="22"/>
                <w:szCs w:val="22"/>
              </w:rPr>
            </w:pPr>
            <w:r w:rsidRPr="00D07BA2">
              <w:rPr>
                <w:rFonts w:asciiTheme="minorHAnsi" w:hAnsiTheme="minorHAnsi" w:cs="Arial"/>
                <w:b/>
                <w:sz w:val="22"/>
                <w:szCs w:val="22"/>
              </w:rPr>
              <w:t xml:space="preserve">Centro educativo: </w:t>
            </w:r>
          </w:p>
        </w:tc>
      </w:tr>
      <w:tr w:rsidR="00FC3DF4" w:rsidRPr="00D07BA2"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FC3DF4">
            <w:pPr>
              <w:pStyle w:val="Sinespaciado"/>
              <w:rPr>
                <w:rFonts w:asciiTheme="minorHAnsi" w:hAnsiTheme="minorHAnsi" w:cs="Arial"/>
                <w:sz w:val="22"/>
                <w:szCs w:val="22"/>
              </w:rPr>
            </w:pPr>
            <w:r w:rsidRPr="00D07BA2">
              <w:rPr>
                <w:rFonts w:asciiTheme="minorHAnsi" w:hAnsiTheme="minorHAnsi" w:cs="Arial"/>
                <w:b/>
                <w:sz w:val="22"/>
                <w:szCs w:val="22"/>
              </w:rPr>
              <w:t xml:space="preserve">Nombre y apellidos del </w:t>
            </w:r>
            <w:r w:rsidR="00424DB1">
              <w:rPr>
                <w:rFonts w:asciiTheme="minorHAnsi" w:hAnsiTheme="minorHAnsi" w:cs="Arial"/>
                <w:b/>
                <w:sz w:val="22"/>
                <w:szCs w:val="22"/>
              </w:rPr>
              <w:t xml:space="preserve">docente </w:t>
            </w:r>
            <w:r w:rsidRPr="00D07BA2">
              <w:rPr>
                <w:rFonts w:asciiTheme="minorHAnsi" w:hAnsiTheme="minorHAnsi" w:cs="Arial"/>
                <w:b/>
                <w:sz w:val="22"/>
                <w:szCs w:val="22"/>
              </w:rPr>
              <w:t>o la docente</w:t>
            </w:r>
            <w:r w:rsidRPr="00D07BA2">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FC3DF4">
            <w:pPr>
              <w:pStyle w:val="Sinespaciado"/>
              <w:rPr>
                <w:rFonts w:asciiTheme="minorHAnsi" w:hAnsiTheme="minorHAnsi" w:cs="Arial"/>
                <w:b/>
                <w:sz w:val="22"/>
                <w:szCs w:val="22"/>
              </w:rPr>
            </w:pPr>
            <w:r w:rsidRPr="00D07BA2">
              <w:rPr>
                <w:rFonts w:asciiTheme="minorHAnsi" w:hAnsiTheme="minorHAnsi" w:cs="Arial"/>
                <w:b/>
                <w:sz w:val="22"/>
                <w:szCs w:val="22"/>
              </w:rPr>
              <w:t xml:space="preserve">Asignatura: </w:t>
            </w:r>
            <w:r w:rsidR="00D07BA2" w:rsidRPr="00D07BA2">
              <w:rPr>
                <w:rFonts w:asciiTheme="minorHAnsi" w:hAnsiTheme="minorHAnsi" w:cs="Arial"/>
                <w:b/>
                <w:sz w:val="22"/>
                <w:szCs w:val="22"/>
              </w:rPr>
              <w:t>Español</w:t>
            </w:r>
          </w:p>
        </w:tc>
      </w:tr>
      <w:tr w:rsidR="00FC3DF4" w:rsidRPr="00D07BA2" w:rsidTr="00FC3DF4">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C4090E">
            <w:pPr>
              <w:pStyle w:val="Sinespaciado"/>
              <w:rPr>
                <w:rFonts w:asciiTheme="minorHAnsi" w:hAnsiTheme="minorHAnsi" w:cs="Arial"/>
                <w:sz w:val="22"/>
                <w:szCs w:val="22"/>
              </w:rPr>
            </w:pPr>
            <w:r w:rsidRPr="00D07BA2">
              <w:rPr>
                <w:rFonts w:asciiTheme="minorHAnsi" w:hAnsiTheme="minorHAnsi" w:cs="Arial"/>
                <w:b/>
                <w:sz w:val="22"/>
                <w:szCs w:val="22"/>
              </w:rPr>
              <w:t xml:space="preserve">Nivel: </w:t>
            </w:r>
            <w:r w:rsidR="00B20F7A">
              <w:rPr>
                <w:rFonts w:asciiTheme="minorHAnsi" w:hAnsiTheme="minorHAnsi" w:cs="Arial"/>
                <w:b/>
                <w:sz w:val="22"/>
                <w:szCs w:val="22"/>
              </w:rPr>
              <w:t>s</w:t>
            </w:r>
            <w:r w:rsidR="00C4090E" w:rsidRPr="00D07BA2">
              <w:rPr>
                <w:rFonts w:asciiTheme="minorHAnsi" w:hAnsiTheme="minorHAnsi" w:cs="Arial"/>
                <w:b/>
                <w:sz w:val="22"/>
                <w:szCs w:val="22"/>
              </w:rPr>
              <w:t>exto</w:t>
            </w:r>
            <w:r w:rsidRPr="00D07BA2">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FC3DF4">
            <w:pPr>
              <w:pStyle w:val="Sinespaciado"/>
              <w:rPr>
                <w:rFonts w:asciiTheme="minorHAnsi" w:hAnsiTheme="minorHAnsi" w:cs="Arial"/>
                <w:b/>
                <w:sz w:val="22"/>
                <w:szCs w:val="22"/>
              </w:rPr>
            </w:pPr>
            <w:r w:rsidRPr="00D07BA2">
              <w:rPr>
                <w:rFonts w:asciiTheme="minorHAnsi" w:hAnsiTheme="minorHAnsi" w:cs="Arial"/>
                <w:b/>
                <w:sz w:val="22"/>
                <w:szCs w:val="22"/>
              </w:rPr>
              <w:t>P</w:t>
            </w:r>
            <w:r w:rsidR="00C4090E" w:rsidRPr="00D07BA2">
              <w:rPr>
                <w:rFonts w:asciiTheme="minorHAnsi" w:hAnsiTheme="minorHAnsi" w:cs="Arial"/>
                <w:b/>
                <w:sz w:val="22"/>
                <w:szCs w:val="22"/>
              </w:rPr>
              <w:t>eriodo l</w:t>
            </w:r>
            <w:r w:rsidRPr="00D07BA2">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FC3DF4" w:rsidRPr="00D07BA2" w:rsidRDefault="00FC3DF4" w:rsidP="00FC3DF4">
            <w:pPr>
              <w:pStyle w:val="Sinespaciado"/>
              <w:rPr>
                <w:rFonts w:asciiTheme="minorHAnsi" w:hAnsiTheme="minorHAnsi" w:cs="Arial"/>
                <w:b/>
                <w:sz w:val="22"/>
                <w:szCs w:val="22"/>
              </w:rPr>
            </w:pPr>
            <w:r w:rsidRPr="00D07BA2">
              <w:rPr>
                <w:rFonts w:asciiTheme="minorHAnsi" w:hAnsiTheme="minorHAnsi" w:cs="Arial"/>
                <w:b/>
                <w:sz w:val="22"/>
                <w:szCs w:val="22"/>
              </w:rPr>
              <w:t xml:space="preserve">Mes: </w:t>
            </w:r>
          </w:p>
        </w:tc>
      </w:tr>
    </w:tbl>
    <w:p w:rsidR="00FC3DF4" w:rsidRDefault="00FC3DF4" w:rsidP="00FC3DF4">
      <w:pPr>
        <w:spacing w:after="0"/>
        <w:rPr>
          <w:b/>
        </w:rPr>
      </w:pPr>
    </w:p>
    <w:p w:rsidR="00B20F7A" w:rsidRDefault="00B20F7A" w:rsidP="00B20F7A">
      <w:pPr>
        <w:spacing w:after="0"/>
        <w:rPr>
          <w:b/>
        </w:rPr>
      </w:pPr>
      <w:r>
        <w:rPr>
          <w:b/>
        </w:rPr>
        <w:t>Sección I. Habilidades en el marco de la Política Curricular.</w:t>
      </w:r>
    </w:p>
    <w:p w:rsidR="00BB6355" w:rsidRPr="003053CA" w:rsidRDefault="00BB6355" w:rsidP="00BB6355">
      <w:pPr>
        <w:tabs>
          <w:tab w:val="left" w:pos="5670"/>
          <w:tab w:val="left" w:pos="6105"/>
        </w:tabs>
        <w:spacing w:after="0"/>
        <w:rPr>
          <w:b/>
        </w:rPr>
      </w:pPr>
      <w:r>
        <w:rPr>
          <w:b/>
        </w:rPr>
        <w:tab/>
      </w:r>
      <w:r>
        <w:rPr>
          <w:b/>
        </w:rPr>
        <w:tab/>
      </w:r>
    </w:p>
    <w:p w:rsidR="00BB6355" w:rsidRPr="00D07BA2" w:rsidRDefault="00BB6355" w:rsidP="00FC3DF4">
      <w:pPr>
        <w:spacing w:after="0"/>
        <w:rPr>
          <w:b/>
        </w:rPr>
      </w:pPr>
    </w:p>
    <w:tbl>
      <w:tblPr>
        <w:tblStyle w:val="Tablaconcuadrcula"/>
        <w:tblW w:w="5000" w:type="pct"/>
        <w:tblInd w:w="-5" w:type="dxa"/>
        <w:shd w:val="clear" w:color="auto" w:fill="FFD966" w:themeFill="accent4" w:themeFillTint="99"/>
        <w:tblLook w:val="04A0" w:firstRow="1" w:lastRow="0" w:firstColumn="1" w:lastColumn="0" w:noHBand="0" w:noVBand="1"/>
      </w:tblPr>
      <w:tblGrid>
        <w:gridCol w:w="3103"/>
        <w:gridCol w:w="9891"/>
      </w:tblGrid>
      <w:tr w:rsidR="00FC3DF4" w:rsidRPr="00D07BA2" w:rsidTr="00FC3DF4">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D07BA2" w:rsidRDefault="00FC3DF4" w:rsidP="00FC3DF4">
            <w:pPr>
              <w:pStyle w:val="Sinespaciado"/>
              <w:jc w:val="center"/>
              <w:rPr>
                <w:rFonts w:asciiTheme="minorHAnsi" w:eastAsiaTheme="minorHAnsi" w:hAnsiTheme="minorHAnsi" w:cstheme="minorBidi"/>
                <w:b/>
                <w:sz w:val="22"/>
                <w:szCs w:val="22"/>
                <w:lang w:eastAsia="en-US"/>
              </w:rPr>
            </w:pPr>
            <w:r w:rsidRPr="00D07BA2">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D07BA2" w:rsidRDefault="00D07BA2" w:rsidP="00FC3DF4">
            <w:pPr>
              <w:pStyle w:val="Sinespaciado"/>
              <w:jc w:val="center"/>
              <w:rPr>
                <w:rFonts w:asciiTheme="minorHAnsi" w:eastAsiaTheme="minorHAnsi" w:hAnsiTheme="minorHAnsi" w:cstheme="minorBidi"/>
                <w:b/>
                <w:sz w:val="22"/>
                <w:szCs w:val="22"/>
                <w:lang w:eastAsia="en-US"/>
              </w:rPr>
            </w:pPr>
            <w:r w:rsidRPr="00D07BA2">
              <w:rPr>
                <w:rFonts w:asciiTheme="minorHAnsi" w:eastAsiaTheme="minorHAnsi" w:hAnsiTheme="minorHAnsi" w:cstheme="minorBidi"/>
                <w:b/>
                <w:sz w:val="22"/>
                <w:szCs w:val="22"/>
                <w:lang w:eastAsia="en-US"/>
              </w:rPr>
              <w:t>Indicador  (p</w:t>
            </w:r>
            <w:r w:rsidR="00FC3DF4" w:rsidRPr="00D07BA2">
              <w:rPr>
                <w:rFonts w:asciiTheme="minorHAnsi" w:eastAsiaTheme="minorHAnsi" w:hAnsiTheme="minorHAnsi" w:cstheme="minorBidi"/>
                <w:b/>
                <w:sz w:val="22"/>
                <w:szCs w:val="22"/>
                <w:lang w:eastAsia="en-US"/>
              </w:rPr>
              <w:t>autas para el desarrollo de la habilidad)</w:t>
            </w:r>
          </w:p>
        </w:tc>
      </w:tr>
      <w:tr w:rsidR="00FC3DF4" w:rsidRPr="00D07BA2"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Aprender a</w:t>
            </w:r>
          </w:p>
          <w:p w:rsidR="00FC3DF4" w:rsidRPr="00D07BA2" w:rsidRDefault="00C4090E"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a</w:t>
            </w:r>
            <w:r w:rsidR="00FC3DF4" w:rsidRPr="00D07BA2">
              <w:rPr>
                <w:rFonts w:asciiTheme="minorHAnsi" w:hAnsiTheme="minorHAnsi" w:cs="Arial"/>
                <w:b/>
                <w:sz w:val="22"/>
                <w:szCs w:val="22"/>
              </w:rPr>
              <w:t>prender:</w:t>
            </w:r>
          </w:p>
          <w:p w:rsidR="00FC3DF4" w:rsidRPr="00D07BA2" w:rsidRDefault="00FC3DF4" w:rsidP="00FC3DF4">
            <w:pPr>
              <w:pStyle w:val="Pa5"/>
              <w:jc w:val="center"/>
              <w:rPr>
                <w:rFonts w:asciiTheme="minorHAnsi" w:hAnsiTheme="minorHAnsi"/>
                <w:sz w:val="22"/>
                <w:szCs w:val="22"/>
              </w:rPr>
            </w:pPr>
            <w:r w:rsidRPr="00D07BA2">
              <w:rPr>
                <w:rFonts w:asciiTheme="minorHAnsi" w:hAnsiTheme="minorHAnsi"/>
                <w:sz w:val="22"/>
                <w:szCs w:val="22"/>
              </w:rPr>
              <w:t>Resolución de problemas capacidad de conocer, organizar y auto-regular el propio proceso de aprendizaje.</w:t>
            </w:r>
          </w:p>
          <w:p w:rsidR="00FC3DF4" w:rsidRPr="00D07BA2" w:rsidRDefault="00FC3DF4" w:rsidP="00FC3DF4">
            <w:pPr>
              <w:pStyle w:val="Pa5"/>
              <w:jc w:val="center"/>
              <w:rPr>
                <w:rFonts w:asciiTheme="minorHAnsi" w:hAnsiTheme="minorHAnsi" w:cstheme="minorBidi"/>
                <w:color w:val="000000" w:themeColor="text1"/>
                <w:sz w:val="22"/>
                <w:szCs w:val="22"/>
              </w:rPr>
            </w:pPr>
            <w:r w:rsidRPr="00D07BA2">
              <w:rPr>
                <w:rFonts w:asciiTheme="minorHAnsi" w:hAnsiTheme="minorHAnsi" w:cstheme="minorBidi"/>
                <w:color w:val="000000" w:themeColor="text1"/>
                <w:sz w:val="22"/>
                <w:szCs w:val="22"/>
              </w:rPr>
              <w:t xml:space="preserve"> </w:t>
            </w:r>
          </w:p>
          <w:p w:rsidR="00FC3DF4" w:rsidRPr="00D07BA2" w:rsidRDefault="00FC3DF4" w:rsidP="00FC3DF4">
            <w:pPr>
              <w:pStyle w:val="Pa5"/>
              <w:jc w:val="center"/>
              <w:rPr>
                <w:rFonts w:asciiTheme="minorHAnsi" w:hAnsiTheme="minorHAnsi"/>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Planificación</w:t>
            </w:r>
          </w:p>
          <w:p w:rsidR="00FC3DF4" w:rsidRPr="00D07BA2" w:rsidRDefault="00FC3DF4" w:rsidP="00FC3DF4">
            <w:pPr>
              <w:pStyle w:val="Sinespaciado"/>
              <w:jc w:val="center"/>
              <w:rPr>
                <w:rFonts w:asciiTheme="minorHAnsi" w:hAnsiTheme="minorHAnsi" w:cs="Arial"/>
                <w:sz w:val="22"/>
                <w:szCs w:val="22"/>
              </w:rPr>
            </w:pPr>
            <w:r w:rsidRPr="00D07BA2">
              <w:rPr>
                <w:rFonts w:asciiTheme="minorHAnsi" w:hAnsiTheme="minorHAnsi" w:cs="Arial"/>
                <w:sz w:val="22"/>
                <w:szCs w:val="22"/>
              </w:rPr>
              <w:t>(Planifica sus estrategias de aprendizaje desde el autoconocimiento y la naturaleza y conte</w:t>
            </w:r>
            <w:r w:rsidR="002120A1">
              <w:rPr>
                <w:rFonts w:asciiTheme="minorHAnsi" w:hAnsiTheme="minorHAnsi" w:cs="Arial"/>
                <w:sz w:val="22"/>
                <w:szCs w:val="22"/>
              </w:rPr>
              <w:t>xto de las tareas por realizar.)</w:t>
            </w:r>
          </w:p>
          <w:p w:rsidR="00FC3DF4" w:rsidRPr="00D07BA2" w:rsidRDefault="00FC3DF4" w:rsidP="00FC3DF4">
            <w:pPr>
              <w:jc w:val="both"/>
              <w:rPr>
                <w:color w:val="000000" w:themeColor="text1"/>
              </w:rPr>
            </w:pPr>
          </w:p>
        </w:tc>
      </w:tr>
      <w:tr w:rsidR="00FC3DF4" w:rsidRPr="00D07BA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D07BA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Autorregulación</w:t>
            </w:r>
          </w:p>
          <w:p w:rsidR="00FC3DF4" w:rsidRPr="00D07BA2" w:rsidRDefault="00FC3DF4" w:rsidP="00FC3DF4">
            <w:pPr>
              <w:pStyle w:val="Sinespaciado"/>
              <w:jc w:val="center"/>
              <w:rPr>
                <w:rFonts w:asciiTheme="minorHAnsi" w:hAnsiTheme="minorHAnsi" w:cs="Arial"/>
                <w:sz w:val="22"/>
                <w:szCs w:val="22"/>
              </w:rPr>
            </w:pPr>
            <w:r w:rsidRPr="00D07BA2">
              <w:rPr>
                <w:rFonts w:asciiTheme="minorHAnsi" w:hAnsiTheme="minorHAnsi" w:cs="Arial"/>
                <w:sz w:val="22"/>
                <w:szCs w:val="22"/>
              </w:rPr>
              <w:t xml:space="preserve">(Desarrolla autonomía en las tareas que debe realizar para alcanzar los </w:t>
            </w:r>
            <w:r w:rsidR="002120A1">
              <w:rPr>
                <w:rFonts w:asciiTheme="minorHAnsi" w:hAnsiTheme="minorHAnsi" w:cs="Arial"/>
                <w:sz w:val="22"/>
                <w:szCs w:val="22"/>
              </w:rPr>
              <w:t>propósitos que se ha propuesto.)</w:t>
            </w:r>
          </w:p>
          <w:p w:rsidR="00FC3DF4" w:rsidRPr="00D07BA2" w:rsidRDefault="00FC3DF4" w:rsidP="00FC3DF4">
            <w:pPr>
              <w:jc w:val="center"/>
              <w:rPr>
                <w:color w:val="000000" w:themeColor="text1"/>
              </w:rPr>
            </w:pPr>
          </w:p>
        </w:tc>
      </w:tr>
      <w:tr w:rsidR="00FC3DF4" w:rsidRPr="00D07BA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FC3DF4" w:rsidRPr="00D07BA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Evaluación</w:t>
            </w:r>
          </w:p>
          <w:p w:rsidR="00FC3DF4" w:rsidRPr="00D07BA2" w:rsidRDefault="00FC3DF4" w:rsidP="00FC3DF4">
            <w:pPr>
              <w:jc w:val="center"/>
            </w:pPr>
            <w:r w:rsidRPr="00D07BA2">
              <w:rPr>
                <w:rFonts w:cs="Arial"/>
              </w:rPr>
              <w:t>(Determina que lo importante no es la respuesta correcta, sino aumentar la c</w:t>
            </w:r>
            <w:r w:rsidR="002120A1">
              <w:rPr>
                <w:rFonts w:cs="Arial"/>
              </w:rPr>
              <w:t>omprensión de algo paso a paso.)</w:t>
            </w:r>
          </w:p>
        </w:tc>
      </w:tr>
    </w:tbl>
    <w:p w:rsidR="00FC3DF4" w:rsidRPr="00D07BA2" w:rsidRDefault="00FC3DF4" w:rsidP="00FC3DF4">
      <w:pPr>
        <w:spacing w:after="0"/>
        <w:rPr>
          <w:b/>
        </w:rPr>
      </w:pPr>
    </w:p>
    <w:p w:rsidR="00FC3DF4" w:rsidRPr="00D07BA2" w:rsidRDefault="00FC3DF4" w:rsidP="00FC3DF4">
      <w:pPr>
        <w:spacing w:after="0"/>
        <w:rPr>
          <w:b/>
        </w:rPr>
      </w:pPr>
    </w:p>
    <w:tbl>
      <w:tblPr>
        <w:tblStyle w:val="Tablaconcuadrcula"/>
        <w:tblW w:w="5002" w:type="pct"/>
        <w:tblInd w:w="-5" w:type="dxa"/>
        <w:shd w:val="clear" w:color="auto" w:fill="CC6600"/>
        <w:tblLook w:val="04A0" w:firstRow="1" w:lastRow="0" w:firstColumn="1" w:lastColumn="0" w:noHBand="0" w:noVBand="1"/>
      </w:tblPr>
      <w:tblGrid>
        <w:gridCol w:w="3104"/>
        <w:gridCol w:w="9895"/>
      </w:tblGrid>
      <w:tr w:rsidR="00FC3DF4" w:rsidRPr="00D07BA2" w:rsidTr="00FC3DF4">
        <w:tc>
          <w:tcPr>
            <w:tcW w:w="1194"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D07BA2" w:rsidRDefault="00FC3DF4" w:rsidP="00FC3DF4">
            <w:pPr>
              <w:pStyle w:val="Sinespaciado"/>
              <w:jc w:val="center"/>
              <w:rPr>
                <w:rFonts w:asciiTheme="minorHAnsi" w:eastAsiaTheme="minorHAnsi" w:hAnsiTheme="minorHAnsi" w:cstheme="minorBidi"/>
                <w:b/>
                <w:sz w:val="22"/>
                <w:szCs w:val="22"/>
                <w:lang w:eastAsia="en-US"/>
              </w:rPr>
            </w:pPr>
            <w:r w:rsidRPr="00D07BA2">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D07BA2" w:rsidRDefault="00D07BA2" w:rsidP="00FC3DF4">
            <w:pPr>
              <w:pStyle w:val="Sinespaciado"/>
              <w:jc w:val="center"/>
              <w:rPr>
                <w:rFonts w:asciiTheme="minorHAnsi" w:eastAsiaTheme="minorHAnsi" w:hAnsiTheme="minorHAnsi" w:cstheme="minorBidi"/>
                <w:b/>
                <w:sz w:val="22"/>
                <w:szCs w:val="22"/>
                <w:lang w:eastAsia="en-US"/>
              </w:rPr>
            </w:pPr>
            <w:r w:rsidRPr="00D07BA2">
              <w:rPr>
                <w:rFonts w:asciiTheme="minorHAnsi" w:eastAsiaTheme="minorHAnsi" w:hAnsiTheme="minorHAnsi" w:cstheme="minorBidi"/>
                <w:b/>
                <w:sz w:val="22"/>
                <w:szCs w:val="22"/>
                <w:lang w:eastAsia="en-US"/>
              </w:rPr>
              <w:t>Indicador  (p</w:t>
            </w:r>
            <w:r w:rsidR="00FC3DF4" w:rsidRPr="00D07BA2">
              <w:rPr>
                <w:rFonts w:asciiTheme="minorHAnsi" w:eastAsiaTheme="minorHAnsi" w:hAnsiTheme="minorHAnsi" w:cstheme="minorBidi"/>
                <w:b/>
                <w:sz w:val="22"/>
                <w:szCs w:val="22"/>
                <w:lang w:eastAsia="en-US"/>
              </w:rPr>
              <w:t>autas para el desarrollo de la habilidad)</w:t>
            </w:r>
          </w:p>
        </w:tc>
      </w:tr>
      <w:tr w:rsidR="00FC3DF4" w:rsidRPr="00D07BA2" w:rsidTr="00FC3DF4">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D07BA2" w:rsidRDefault="00FC3DF4" w:rsidP="00FC3DF4">
            <w:pPr>
              <w:jc w:val="center"/>
              <w:rPr>
                <w:b/>
                <w:color w:val="000000" w:themeColor="text1"/>
              </w:rPr>
            </w:pPr>
            <w:r w:rsidRPr="00D07BA2">
              <w:rPr>
                <w:b/>
                <w:color w:val="000000" w:themeColor="text1"/>
              </w:rPr>
              <w:t>Comunicación:</w:t>
            </w:r>
          </w:p>
          <w:p w:rsidR="00FC3DF4" w:rsidRPr="00D07BA2" w:rsidRDefault="00FC3DF4" w:rsidP="00FC3DF4">
            <w:pPr>
              <w:pStyle w:val="Sinespaciado"/>
              <w:jc w:val="center"/>
              <w:rPr>
                <w:rFonts w:asciiTheme="minorHAnsi" w:hAnsiTheme="minorHAnsi" w:cs="Arial"/>
                <w:sz w:val="22"/>
                <w:szCs w:val="22"/>
              </w:rPr>
            </w:pPr>
            <w:r w:rsidRPr="00D07BA2">
              <w:rPr>
                <w:rFonts w:asciiTheme="minorHAnsi" w:hAnsiTheme="minorHAnsi"/>
                <w:color w:val="000000" w:themeColor="text1"/>
                <w:sz w:val="22"/>
                <w:szCs w:val="22"/>
              </w:rPr>
              <w:t xml:space="preserve">Habilidad que supone el dominio de la lengua materna y otros idiomas para comprender y producir mensajes en una variedad de situaciones y por </w:t>
            </w:r>
            <w:r w:rsidRPr="00D07BA2">
              <w:rPr>
                <w:rFonts w:asciiTheme="minorHAnsi" w:hAnsiTheme="minorHAnsi"/>
                <w:color w:val="000000" w:themeColor="text1"/>
                <w:sz w:val="22"/>
                <w:szCs w:val="22"/>
              </w:rPr>
              <w:lastRenderedPageBreak/>
              <w:t>diversos medios de acuerdo a un propósito.</w:t>
            </w: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lastRenderedPageBreak/>
              <w:t>Decodificación</w:t>
            </w:r>
          </w:p>
          <w:p w:rsidR="00FC3DF4" w:rsidRPr="00D07BA2" w:rsidRDefault="00FC3DF4" w:rsidP="00FC3DF4">
            <w:pPr>
              <w:jc w:val="both"/>
              <w:rPr>
                <w:color w:val="000000" w:themeColor="text1"/>
              </w:rPr>
            </w:pPr>
            <w:r w:rsidRPr="00D07BA2">
              <w:rPr>
                <w:rFonts w:cs="Arial"/>
              </w:rPr>
              <w:t>(Interpreta diferentes tipos de mensajes visuales y orales de complejidad diversa, tanto en s</w:t>
            </w:r>
            <w:r w:rsidR="002120A1">
              <w:rPr>
                <w:rFonts w:cs="Arial"/>
              </w:rPr>
              <w:t>u forma como en sus contenidos.)</w:t>
            </w:r>
          </w:p>
        </w:tc>
      </w:tr>
      <w:tr w:rsidR="00FC3DF4" w:rsidRPr="00D07BA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D07BA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Comprensión</w:t>
            </w:r>
          </w:p>
          <w:p w:rsidR="00FC3DF4" w:rsidRPr="00D07BA2" w:rsidRDefault="00FC3DF4" w:rsidP="00FC3DF4">
            <w:pPr>
              <w:jc w:val="center"/>
              <w:rPr>
                <w:color w:val="000000" w:themeColor="text1"/>
              </w:rPr>
            </w:pPr>
            <w:r w:rsidRPr="00D07BA2">
              <w:rPr>
                <w:rFonts w:cs="Arial"/>
              </w:rPr>
              <w:t xml:space="preserve">(Descifra valores, conocimientos actitudes e intenciones en las diversas formas de comunicación, </w:t>
            </w:r>
            <w:r w:rsidR="002120A1">
              <w:rPr>
                <w:rFonts w:cs="Arial"/>
              </w:rPr>
              <w:t>considerando su contexto.)</w:t>
            </w:r>
          </w:p>
        </w:tc>
      </w:tr>
      <w:tr w:rsidR="00FC3DF4" w:rsidRPr="00D07BA2" w:rsidTr="00FC3DF4">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CC6600"/>
            <w:vAlign w:val="center"/>
            <w:hideMark/>
          </w:tcPr>
          <w:p w:rsidR="00FC3DF4" w:rsidRPr="00D07BA2" w:rsidRDefault="00FC3DF4" w:rsidP="00FC3DF4">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CC6600"/>
            <w:hideMark/>
          </w:tcPr>
          <w:p w:rsidR="00FC3DF4" w:rsidRPr="00D07BA2" w:rsidRDefault="00FC3DF4" w:rsidP="00FC3DF4">
            <w:pPr>
              <w:pStyle w:val="Sinespaciado"/>
              <w:jc w:val="center"/>
              <w:rPr>
                <w:rFonts w:asciiTheme="minorHAnsi" w:hAnsiTheme="minorHAnsi" w:cs="Arial"/>
                <w:b/>
                <w:sz w:val="22"/>
                <w:szCs w:val="22"/>
              </w:rPr>
            </w:pPr>
            <w:r w:rsidRPr="00D07BA2">
              <w:rPr>
                <w:rFonts w:asciiTheme="minorHAnsi" w:hAnsiTheme="minorHAnsi" w:cs="Arial"/>
                <w:b/>
                <w:sz w:val="22"/>
                <w:szCs w:val="22"/>
              </w:rPr>
              <w:t>Trasmisión efectiva</w:t>
            </w:r>
          </w:p>
          <w:p w:rsidR="00FC3DF4" w:rsidRPr="00D07BA2" w:rsidRDefault="00FC3DF4" w:rsidP="00FC3DF4">
            <w:pPr>
              <w:jc w:val="center"/>
            </w:pPr>
            <w:r w:rsidRPr="00D07BA2">
              <w:rPr>
                <w:rFonts w:cs="Arial"/>
              </w:rPr>
              <w:t>(Crea, a través del código oral y escrito, diversas obras de expresión con valores estéticos y literarios, respe</w:t>
            </w:r>
            <w:r w:rsidR="002120A1">
              <w:rPr>
                <w:rFonts w:cs="Arial"/>
              </w:rPr>
              <w:t>tando los cánones gramaticales.)</w:t>
            </w:r>
          </w:p>
        </w:tc>
      </w:tr>
    </w:tbl>
    <w:p w:rsidR="00FC3DF4" w:rsidRPr="00D07BA2" w:rsidRDefault="00FC3DF4" w:rsidP="00FC3DF4">
      <w:pPr>
        <w:rPr>
          <w:b/>
        </w:rPr>
      </w:pPr>
    </w:p>
    <w:p w:rsidR="00BB6355" w:rsidRDefault="00BB6355" w:rsidP="00BB6355">
      <w:pPr>
        <w:rPr>
          <w:b/>
        </w:rPr>
      </w:pPr>
      <w:r w:rsidRPr="003053CA">
        <w:rPr>
          <w:b/>
        </w:rPr>
        <w:t>Sección II. Aprendizajes esperados, indicadores de los aprendizajes esperados y estrategias de mediación.</w:t>
      </w:r>
    </w:p>
    <w:tbl>
      <w:tblPr>
        <w:tblStyle w:val="Tablaconcuadrcula"/>
        <w:tblW w:w="13234" w:type="dxa"/>
        <w:tblLook w:val="04A0" w:firstRow="1" w:lastRow="0" w:firstColumn="1" w:lastColumn="0" w:noHBand="0" w:noVBand="1"/>
      </w:tblPr>
      <w:tblGrid>
        <w:gridCol w:w="2830"/>
        <w:gridCol w:w="3402"/>
        <w:gridCol w:w="2127"/>
        <w:gridCol w:w="4875"/>
      </w:tblGrid>
      <w:tr w:rsidR="00FC3DF4" w:rsidRPr="00D07BA2" w:rsidTr="00FC3DF4">
        <w:tc>
          <w:tcPr>
            <w:tcW w:w="6232" w:type="dxa"/>
            <w:gridSpan w:val="2"/>
          </w:tcPr>
          <w:p w:rsidR="00FC3DF4" w:rsidRPr="00D07BA2" w:rsidRDefault="00FC3DF4" w:rsidP="00FC3DF4">
            <w:pPr>
              <w:jc w:val="center"/>
              <w:rPr>
                <w:b/>
              </w:rPr>
            </w:pPr>
            <w:r w:rsidRPr="00D07BA2">
              <w:rPr>
                <w:b/>
              </w:rPr>
              <w:t>Aprendizaje esperado</w:t>
            </w:r>
          </w:p>
        </w:tc>
        <w:tc>
          <w:tcPr>
            <w:tcW w:w="2127" w:type="dxa"/>
            <w:vMerge w:val="restart"/>
            <w:vAlign w:val="center"/>
          </w:tcPr>
          <w:p w:rsidR="00FC3DF4" w:rsidRPr="00D07BA2" w:rsidRDefault="00FC3DF4" w:rsidP="00FC3DF4">
            <w:pPr>
              <w:jc w:val="center"/>
              <w:rPr>
                <w:b/>
              </w:rPr>
            </w:pPr>
            <w:r w:rsidRPr="00D07BA2">
              <w:rPr>
                <w:b/>
              </w:rPr>
              <w:t>Indicadores del aprendizaje esperado</w:t>
            </w:r>
          </w:p>
        </w:tc>
        <w:tc>
          <w:tcPr>
            <w:tcW w:w="4875" w:type="dxa"/>
            <w:vMerge w:val="restart"/>
            <w:vAlign w:val="center"/>
          </w:tcPr>
          <w:p w:rsidR="00FC3DF4" w:rsidRPr="00D07BA2" w:rsidRDefault="00D07BA2" w:rsidP="00FC3DF4">
            <w:pPr>
              <w:jc w:val="center"/>
              <w:rPr>
                <w:b/>
              </w:rPr>
            </w:pPr>
            <w:r w:rsidRPr="00D07BA2">
              <w:rPr>
                <w:b/>
              </w:rPr>
              <w:t>Estrategias de mediación</w:t>
            </w:r>
          </w:p>
        </w:tc>
      </w:tr>
      <w:tr w:rsidR="00FC3DF4" w:rsidRPr="00D07BA2" w:rsidTr="00FC3DF4">
        <w:tc>
          <w:tcPr>
            <w:tcW w:w="2830" w:type="dxa"/>
          </w:tcPr>
          <w:p w:rsidR="00FC3DF4" w:rsidRPr="00D07BA2" w:rsidRDefault="00FC3DF4" w:rsidP="00FC3DF4">
            <w:pPr>
              <w:jc w:val="center"/>
              <w:rPr>
                <w:b/>
                <w:highlight w:val="yellow"/>
              </w:rPr>
            </w:pPr>
            <w:r w:rsidRPr="00D07BA2">
              <w:rPr>
                <w:b/>
              </w:rPr>
              <w:t>Indicador para el desarrollo de la habilidad</w:t>
            </w:r>
          </w:p>
        </w:tc>
        <w:tc>
          <w:tcPr>
            <w:tcW w:w="3402" w:type="dxa"/>
          </w:tcPr>
          <w:p w:rsidR="00FC3DF4" w:rsidRPr="00D07BA2" w:rsidRDefault="00FC3DF4" w:rsidP="00FC3DF4">
            <w:pPr>
              <w:jc w:val="center"/>
              <w:rPr>
                <w:b/>
              </w:rPr>
            </w:pPr>
            <w:r w:rsidRPr="00D07BA2">
              <w:rPr>
                <w:b/>
              </w:rPr>
              <w:t>Componente del programa de estudio</w:t>
            </w:r>
          </w:p>
          <w:p w:rsidR="00FC3DF4" w:rsidRPr="00D07BA2" w:rsidRDefault="00FC3DF4" w:rsidP="00FC3DF4">
            <w:pPr>
              <w:jc w:val="center"/>
              <w:rPr>
                <w:b/>
              </w:rPr>
            </w:pPr>
            <w:r w:rsidRPr="00D07BA2">
              <w:rPr>
                <w:b/>
              </w:rPr>
              <w:t>(contenido curricular procedimental)</w:t>
            </w:r>
          </w:p>
        </w:tc>
        <w:tc>
          <w:tcPr>
            <w:tcW w:w="2127" w:type="dxa"/>
            <w:vMerge/>
          </w:tcPr>
          <w:p w:rsidR="00FC3DF4" w:rsidRPr="00D07BA2" w:rsidRDefault="00FC3DF4" w:rsidP="00FC3DF4">
            <w:pPr>
              <w:jc w:val="center"/>
              <w:rPr>
                <w:b/>
              </w:rPr>
            </w:pPr>
          </w:p>
        </w:tc>
        <w:tc>
          <w:tcPr>
            <w:tcW w:w="4875" w:type="dxa"/>
            <w:vMerge/>
          </w:tcPr>
          <w:p w:rsidR="00FC3DF4" w:rsidRPr="00D07BA2" w:rsidRDefault="00FC3DF4" w:rsidP="00FC3DF4">
            <w:pPr>
              <w:jc w:val="center"/>
              <w:rPr>
                <w:b/>
              </w:rPr>
            </w:pPr>
          </w:p>
        </w:tc>
      </w:tr>
      <w:tr w:rsidR="00FC3DF4" w:rsidRPr="00D07BA2" w:rsidTr="00FC3DF4">
        <w:trPr>
          <w:trHeight w:val="4247"/>
        </w:trPr>
        <w:tc>
          <w:tcPr>
            <w:tcW w:w="2830" w:type="dxa"/>
            <w:vAlign w:val="center"/>
          </w:tcPr>
          <w:p w:rsidR="00FC3DF4" w:rsidRPr="00D07BA2" w:rsidRDefault="00FC3DF4" w:rsidP="00FC3DF4">
            <w:pPr>
              <w:jc w:val="center"/>
              <w:rPr>
                <w:b/>
                <w:color w:val="BF8F00" w:themeColor="accent4" w:themeShade="BF"/>
              </w:rPr>
            </w:pPr>
            <w:r w:rsidRPr="00D07BA2">
              <w:rPr>
                <w:b/>
                <w:color w:val="BF8F00" w:themeColor="accent4" w:themeShade="BF"/>
              </w:rPr>
              <w:t>Aprender a</w:t>
            </w:r>
          </w:p>
          <w:p w:rsidR="00FC3DF4" w:rsidRPr="00D07BA2" w:rsidRDefault="002120A1" w:rsidP="00FC3DF4">
            <w:pPr>
              <w:jc w:val="center"/>
              <w:rPr>
                <w:b/>
                <w:color w:val="BF8F00" w:themeColor="accent4" w:themeShade="BF"/>
              </w:rPr>
            </w:pPr>
            <w:r>
              <w:rPr>
                <w:b/>
                <w:color w:val="BF8F00" w:themeColor="accent4" w:themeShade="BF"/>
              </w:rPr>
              <w:t>a</w:t>
            </w:r>
            <w:r w:rsidR="00FC3DF4" w:rsidRPr="00D07BA2">
              <w:rPr>
                <w:b/>
                <w:color w:val="BF8F00" w:themeColor="accent4" w:themeShade="BF"/>
              </w:rPr>
              <w:t>prender:</w:t>
            </w:r>
          </w:p>
          <w:p w:rsidR="00FC3DF4" w:rsidRPr="00D07BA2" w:rsidRDefault="00FC3DF4" w:rsidP="00FC3DF4">
            <w:pPr>
              <w:jc w:val="center"/>
              <w:rPr>
                <w:color w:val="BF8F00" w:themeColor="accent4" w:themeShade="BF"/>
              </w:rPr>
            </w:pPr>
            <w:r w:rsidRPr="00D07BA2">
              <w:rPr>
                <w:color w:val="BF8F00" w:themeColor="accent4" w:themeShade="BF"/>
              </w:rPr>
              <w:t>Resolución de problemas capacidad de conocer, organizar y auto-regular el propio proceso de aprendizaje.</w:t>
            </w:r>
          </w:p>
          <w:p w:rsidR="00FC3DF4" w:rsidRPr="00D07BA2" w:rsidRDefault="00FC3DF4" w:rsidP="00FC3DF4">
            <w:pPr>
              <w:jc w:val="center"/>
              <w:rPr>
                <w:b/>
                <w:color w:val="BF8F00" w:themeColor="accent4" w:themeShade="BF"/>
              </w:rPr>
            </w:pPr>
          </w:p>
          <w:p w:rsidR="00FC3DF4" w:rsidRPr="00D07BA2" w:rsidRDefault="00FC3DF4" w:rsidP="00FC3DF4">
            <w:pPr>
              <w:jc w:val="center"/>
              <w:rPr>
                <w:b/>
                <w:color w:val="BF8F00" w:themeColor="accent4" w:themeShade="BF"/>
              </w:rPr>
            </w:pPr>
            <w:r w:rsidRPr="00D07BA2">
              <w:rPr>
                <w:b/>
                <w:color w:val="BF8F00" w:themeColor="accent4" w:themeShade="BF"/>
              </w:rPr>
              <w:t>Planificación</w:t>
            </w:r>
          </w:p>
          <w:p w:rsidR="00FC3DF4" w:rsidRPr="00D07BA2" w:rsidRDefault="00FC3DF4" w:rsidP="00FC3DF4">
            <w:pPr>
              <w:jc w:val="center"/>
              <w:rPr>
                <w:color w:val="BF8F00" w:themeColor="accent4" w:themeShade="BF"/>
              </w:rPr>
            </w:pPr>
            <w:r w:rsidRPr="00D07BA2">
              <w:rPr>
                <w:color w:val="BF8F00" w:themeColor="accent4" w:themeShade="BF"/>
              </w:rPr>
              <w:t>(Planifica sus estrategias de aprendizaje desde el autoconocimiento y la naturaleza y contexto de las tareas por re</w:t>
            </w:r>
            <w:r w:rsidR="002120A1">
              <w:rPr>
                <w:color w:val="BF8F00" w:themeColor="accent4" w:themeShade="BF"/>
              </w:rPr>
              <w:t>alizar.)</w:t>
            </w:r>
          </w:p>
          <w:p w:rsidR="00FC3DF4" w:rsidRPr="00D07BA2" w:rsidRDefault="00FC3DF4" w:rsidP="00FC3DF4">
            <w:pPr>
              <w:jc w:val="center"/>
              <w:rPr>
                <w:color w:val="BF8F00" w:themeColor="accent4" w:themeShade="BF"/>
              </w:rPr>
            </w:pPr>
          </w:p>
          <w:p w:rsidR="00FC3DF4" w:rsidRPr="00D07BA2" w:rsidRDefault="00FC3DF4" w:rsidP="00FC3DF4">
            <w:pPr>
              <w:jc w:val="center"/>
              <w:rPr>
                <w:b/>
                <w:color w:val="BF8F00" w:themeColor="accent4" w:themeShade="BF"/>
              </w:rPr>
            </w:pPr>
            <w:r w:rsidRPr="00D07BA2">
              <w:rPr>
                <w:b/>
                <w:color w:val="BF8F00" w:themeColor="accent4" w:themeShade="BF"/>
              </w:rPr>
              <w:t>Autorregulación</w:t>
            </w:r>
          </w:p>
          <w:p w:rsidR="00FC3DF4" w:rsidRPr="00D07BA2" w:rsidRDefault="00FC3DF4" w:rsidP="00FC3DF4">
            <w:pPr>
              <w:jc w:val="center"/>
              <w:rPr>
                <w:color w:val="BF8F00" w:themeColor="accent4" w:themeShade="BF"/>
              </w:rPr>
            </w:pPr>
            <w:r w:rsidRPr="00D07BA2">
              <w:rPr>
                <w:color w:val="BF8F00" w:themeColor="accent4" w:themeShade="BF"/>
              </w:rPr>
              <w:t xml:space="preserve">(Desarrolla autonomía en las tareas que debe realizar para alcanzar los </w:t>
            </w:r>
            <w:r w:rsidR="002120A1">
              <w:rPr>
                <w:color w:val="BF8F00" w:themeColor="accent4" w:themeShade="BF"/>
              </w:rPr>
              <w:t>propósitos que se ha propuesto.)</w:t>
            </w:r>
          </w:p>
          <w:p w:rsidR="00FC3DF4" w:rsidRPr="00D07BA2" w:rsidRDefault="00FC3DF4" w:rsidP="00FC3DF4">
            <w:pPr>
              <w:jc w:val="center"/>
              <w:rPr>
                <w:color w:val="BF8F00" w:themeColor="accent4" w:themeShade="BF"/>
              </w:rPr>
            </w:pPr>
          </w:p>
          <w:p w:rsidR="00FC3DF4" w:rsidRPr="00D07BA2" w:rsidRDefault="00FC3DF4" w:rsidP="00FC3DF4">
            <w:pPr>
              <w:jc w:val="center"/>
              <w:rPr>
                <w:b/>
                <w:color w:val="BF8F00" w:themeColor="accent4" w:themeShade="BF"/>
              </w:rPr>
            </w:pPr>
            <w:r w:rsidRPr="00D07BA2">
              <w:rPr>
                <w:b/>
                <w:color w:val="BF8F00" w:themeColor="accent4" w:themeShade="BF"/>
              </w:rPr>
              <w:lastRenderedPageBreak/>
              <w:t>Evaluación</w:t>
            </w:r>
          </w:p>
          <w:p w:rsidR="00FC3DF4" w:rsidRPr="00D07BA2" w:rsidRDefault="00FC3DF4" w:rsidP="00FC3DF4">
            <w:pPr>
              <w:jc w:val="center"/>
              <w:rPr>
                <w:color w:val="BF8F00" w:themeColor="accent4" w:themeShade="BF"/>
              </w:rPr>
            </w:pPr>
            <w:r w:rsidRPr="00D07BA2">
              <w:rPr>
                <w:color w:val="BF8F00" w:themeColor="accent4" w:themeShade="BF"/>
              </w:rPr>
              <w:t>(Determina que lo importante no es la respuesta correcta, sino aumentar la c</w:t>
            </w:r>
            <w:r w:rsidR="002120A1">
              <w:rPr>
                <w:color w:val="BF8F00" w:themeColor="accent4" w:themeShade="BF"/>
              </w:rPr>
              <w:t>omprensión de algo paso a paso.)</w:t>
            </w:r>
          </w:p>
          <w:p w:rsidR="00FC3DF4" w:rsidRPr="00D07BA2" w:rsidRDefault="00FC3DF4" w:rsidP="00FC3DF4">
            <w:pPr>
              <w:pStyle w:val="Sinespaciado"/>
              <w:jc w:val="center"/>
              <w:rPr>
                <w:rFonts w:asciiTheme="minorHAnsi" w:hAnsiTheme="minorHAnsi" w:cs="Arial"/>
                <w:sz w:val="22"/>
                <w:szCs w:val="22"/>
              </w:rPr>
            </w:pPr>
          </w:p>
          <w:p w:rsidR="00FC3DF4" w:rsidRPr="00D07BA2" w:rsidRDefault="00FC3DF4" w:rsidP="00FC3DF4">
            <w:pPr>
              <w:pStyle w:val="Sinespaciado"/>
              <w:jc w:val="center"/>
              <w:rPr>
                <w:rFonts w:asciiTheme="minorHAnsi" w:hAnsiTheme="minorHAnsi" w:cs="Arial"/>
                <w:sz w:val="22"/>
                <w:szCs w:val="22"/>
              </w:rPr>
            </w:pPr>
          </w:p>
          <w:p w:rsidR="00FC3DF4" w:rsidRPr="00D07BA2" w:rsidRDefault="00FC3DF4" w:rsidP="004222B2">
            <w:pPr>
              <w:pStyle w:val="Sinespaciado"/>
              <w:jc w:val="center"/>
              <w:rPr>
                <w:rFonts w:asciiTheme="minorHAnsi" w:hAnsiTheme="minorHAnsi" w:cs="Arial"/>
                <w:b/>
                <w:color w:val="C45911" w:themeColor="accent2" w:themeShade="BF"/>
                <w:sz w:val="22"/>
                <w:szCs w:val="22"/>
              </w:rPr>
            </w:pPr>
            <w:r w:rsidRPr="00D07BA2">
              <w:rPr>
                <w:rFonts w:asciiTheme="minorHAnsi" w:hAnsiTheme="minorHAnsi" w:cs="Arial"/>
                <w:b/>
                <w:color w:val="C45911" w:themeColor="accent2" w:themeShade="BF"/>
                <w:sz w:val="22"/>
                <w:szCs w:val="22"/>
              </w:rPr>
              <w:t>Comunicación:</w:t>
            </w:r>
          </w:p>
          <w:p w:rsidR="00FC3DF4" w:rsidRPr="00D07BA2" w:rsidRDefault="00FC3DF4" w:rsidP="00FC3DF4">
            <w:pPr>
              <w:pStyle w:val="Sinespaciado"/>
              <w:jc w:val="center"/>
              <w:rPr>
                <w:rFonts w:asciiTheme="minorHAnsi" w:hAnsiTheme="minorHAnsi" w:cs="Arial"/>
                <w:sz w:val="22"/>
                <w:szCs w:val="22"/>
              </w:rPr>
            </w:pPr>
          </w:p>
          <w:p w:rsidR="00FC3DF4" w:rsidRPr="00D07BA2" w:rsidRDefault="00FC3DF4" w:rsidP="00FC3DF4">
            <w:pPr>
              <w:pStyle w:val="Sinespaciado"/>
              <w:jc w:val="center"/>
              <w:rPr>
                <w:rFonts w:asciiTheme="minorHAnsi" w:hAnsiTheme="minorHAnsi" w:cs="Arial"/>
                <w:color w:val="C45911" w:themeColor="accent2" w:themeShade="BF"/>
                <w:sz w:val="22"/>
                <w:szCs w:val="22"/>
              </w:rPr>
            </w:pPr>
          </w:p>
          <w:p w:rsidR="00FC3DF4" w:rsidRPr="00D07BA2" w:rsidRDefault="00FC3DF4" w:rsidP="00FC3DF4">
            <w:pPr>
              <w:pStyle w:val="Sinespaciado"/>
              <w:jc w:val="center"/>
              <w:rPr>
                <w:rFonts w:asciiTheme="minorHAnsi" w:hAnsiTheme="minorHAnsi" w:cs="Arial"/>
                <w:b/>
                <w:color w:val="C45911" w:themeColor="accent2" w:themeShade="BF"/>
                <w:sz w:val="22"/>
                <w:szCs w:val="22"/>
              </w:rPr>
            </w:pPr>
            <w:r w:rsidRPr="00D07BA2">
              <w:rPr>
                <w:rFonts w:asciiTheme="minorHAnsi" w:hAnsiTheme="minorHAnsi" w:cs="Arial"/>
                <w:b/>
                <w:color w:val="C45911" w:themeColor="accent2" w:themeShade="BF"/>
                <w:sz w:val="22"/>
                <w:szCs w:val="22"/>
              </w:rPr>
              <w:t>Comprensión</w:t>
            </w:r>
          </w:p>
          <w:p w:rsidR="00FC3DF4" w:rsidRPr="00D07BA2" w:rsidRDefault="00FC3DF4" w:rsidP="00FC3DF4">
            <w:pPr>
              <w:pStyle w:val="Sinespaciado"/>
              <w:jc w:val="center"/>
              <w:rPr>
                <w:rFonts w:asciiTheme="minorHAnsi" w:hAnsiTheme="minorHAnsi" w:cs="Arial"/>
                <w:color w:val="C45911" w:themeColor="accent2" w:themeShade="BF"/>
                <w:sz w:val="22"/>
                <w:szCs w:val="22"/>
              </w:rPr>
            </w:pPr>
            <w:r w:rsidRPr="00D07BA2">
              <w:rPr>
                <w:rFonts w:asciiTheme="minorHAnsi" w:hAnsiTheme="minorHAnsi" w:cs="Arial"/>
                <w:color w:val="C45911" w:themeColor="accent2" w:themeShade="BF"/>
                <w:sz w:val="22"/>
                <w:szCs w:val="22"/>
              </w:rPr>
              <w:t>(Descifra valores, conocimientos actitudes e intenciones en las diversas formas de comunica</w:t>
            </w:r>
            <w:r w:rsidR="002120A1">
              <w:rPr>
                <w:rFonts w:asciiTheme="minorHAnsi" w:hAnsiTheme="minorHAnsi" w:cs="Arial"/>
                <w:color w:val="C45911" w:themeColor="accent2" w:themeShade="BF"/>
                <w:sz w:val="22"/>
                <w:szCs w:val="22"/>
              </w:rPr>
              <w:t>ción, considerando su contexto.)</w:t>
            </w:r>
          </w:p>
          <w:p w:rsidR="00FC3DF4" w:rsidRPr="00D07BA2" w:rsidRDefault="00FC3DF4" w:rsidP="00FC3DF4">
            <w:pPr>
              <w:pStyle w:val="Sinespaciado"/>
              <w:jc w:val="center"/>
              <w:rPr>
                <w:rFonts w:asciiTheme="minorHAnsi" w:hAnsiTheme="minorHAnsi" w:cs="Arial"/>
                <w:color w:val="C45911" w:themeColor="accent2" w:themeShade="BF"/>
                <w:sz w:val="22"/>
                <w:szCs w:val="22"/>
              </w:rPr>
            </w:pPr>
          </w:p>
          <w:p w:rsidR="00FC3DF4" w:rsidRPr="00D07BA2" w:rsidRDefault="00FC3DF4" w:rsidP="00FC3DF4">
            <w:pPr>
              <w:pStyle w:val="Sinespaciado"/>
              <w:jc w:val="center"/>
              <w:rPr>
                <w:rFonts w:asciiTheme="minorHAnsi" w:hAnsiTheme="minorHAnsi" w:cs="Arial"/>
                <w:color w:val="C45911" w:themeColor="accent2" w:themeShade="BF"/>
                <w:sz w:val="22"/>
                <w:szCs w:val="22"/>
              </w:rPr>
            </w:pPr>
          </w:p>
          <w:p w:rsidR="00FC3DF4" w:rsidRPr="00D07BA2" w:rsidRDefault="00FC3DF4" w:rsidP="00FC3DF4">
            <w:pPr>
              <w:pStyle w:val="Sinespaciado"/>
              <w:jc w:val="center"/>
              <w:rPr>
                <w:rFonts w:asciiTheme="minorHAnsi" w:hAnsiTheme="minorHAnsi" w:cs="Arial"/>
                <w:b/>
                <w:color w:val="C45911" w:themeColor="accent2" w:themeShade="BF"/>
                <w:sz w:val="22"/>
                <w:szCs w:val="22"/>
              </w:rPr>
            </w:pPr>
            <w:r w:rsidRPr="00D07BA2">
              <w:rPr>
                <w:rFonts w:asciiTheme="minorHAnsi" w:hAnsiTheme="minorHAnsi" w:cs="Arial"/>
                <w:b/>
                <w:color w:val="C45911" w:themeColor="accent2" w:themeShade="BF"/>
                <w:sz w:val="22"/>
                <w:szCs w:val="22"/>
              </w:rPr>
              <w:t>Trasmisión efectiva</w:t>
            </w:r>
          </w:p>
          <w:p w:rsidR="00FC3DF4" w:rsidRPr="00D07BA2" w:rsidRDefault="00FC3DF4" w:rsidP="00FC3DF4">
            <w:pPr>
              <w:pStyle w:val="Sinespaciado"/>
              <w:jc w:val="center"/>
              <w:rPr>
                <w:rFonts w:asciiTheme="minorHAnsi" w:hAnsiTheme="minorHAnsi" w:cs="Arial"/>
                <w:sz w:val="22"/>
                <w:szCs w:val="22"/>
              </w:rPr>
            </w:pPr>
            <w:r w:rsidRPr="00D07BA2">
              <w:rPr>
                <w:rFonts w:asciiTheme="minorHAnsi" w:hAnsiTheme="minorHAnsi" w:cs="Arial"/>
                <w:color w:val="C45911" w:themeColor="accent2" w:themeShade="BF"/>
                <w:sz w:val="22"/>
                <w:szCs w:val="22"/>
              </w:rPr>
              <w:t>(Crea, a través del código oral y escrito, diversas obras de expresión con valores estéticos y literarios, respe</w:t>
            </w:r>
            <w:r w:rsidR="002120A1">
              <w:rPr>
                <w:rFonts w:asciiTheme="minorHAnsi" w:hAnsiTheme="minorHAnsi" w:cs="Arial"/>
                <w:color w:val="C45911" w:themeColor="accent2" w:themeShade="BF"/>
                <w:sz w:val="22"/>
                <w:szCs w:val="22"/>
              </w:rPr>
              <w:t>tando los cánones gramaticales.)</w:t>
            </w:r>
          </w:p>
        </w:tc>
        <w:tc>
          <w:tcPr>
            <w:tcW w:w="3402" w:type="dxa"/>
          </w:tcPr>
          <w:p w:rsidR="00FC3DF4" w:rsidRPr="00D07BA2" w:rsidRDefault="00374C47" w:rsidP="00374C47">
            <w:pPr>
              <w:autoSpaceDE w:val="0"/>
              <w:autoSpaceDN w:val="0"/>
              <w:adjustRightInd w:val="0"/>
              <w:rPr>
                <w:rFonts w:cs="MyriadPro-Regular"/>
              </w:rPr>
            </w:pPr>
            <w:r w:rsidRPr="00D07BA2">
              <w:rPr>
                <w:rFonts w:cs="MyriadPro-Regular"/>
              </w:rPr>
              <w:lastRenderedPageBreak/>
              <w:t>6.1. Utilización de estrategias de comprensión de la estructura y el significado de las diferentes partes de los enunciados.</w:t>
            </w:r>
          </w:p>
          <w:p w:rsidR="00374C47" w:rsidRPr="00D07BA2" w:rsidRDefault="00374C47" w:rsidP="00374C47">
            <w:pPr>
              <w:autoSpaceDE w:val="0"/>
              <w:autoSpaceDN w:val="0"/>
              <w:adjustRightInd w:val="0"/>
              <w:jc w:val="both"/>
              <w:rPr>
                <w:rFonts w:cs="MyriadPro-Regular"/>
              </w:rPr>
            </w:pPr>
          </w:p>
          <w:p w:rsidR="00374C47" w:rsidRPr="00D07BA2" w:rsidRDefault="00374C47" w:rsidP="00374C47">
            <w:pPr>
              <w:autoSpaceDE w:val="0"/>
              <w:autoSpaceDN w:val="0"/>
              <w:adjustRightInd w:val="0"/>
              <w:rPr>
                <w:rFonts w:cs="MyriadPro-Regular"/>
              </w:rPr>
            </w:pPr>
            <w:r w:rsidRPr="00D07BA2">
              <w:rPr>
                <w:rFonts w:cs="MyriadPro-Regular"/>
              </w:rPr>
              <w:t>(6. Producción textual</w:t>
            </w:r>
          </w:p>
          <w:p w:rsidR="00374C47" w:rsidRPr="00D07BA2" w:rsidRDefault="00374C47" w:rsidP="00374C47">
            <w:pPr>
              <w:autoSpaceDE w:val="0"/>
              <w:autoSpaceDN w:val="0"/>
              <w:adjustRightInd w:val="0"/>
              <w:rPr>
                <w:rFonts w:cs="MyriadPro-Bold"/>
                <w:b/>
                <w:bCs/>
              </w:rPr>
            </w:pPr>
            <w:r w:rsidRPr="00D07BA2">
              <w:rPr>
                <w:rFonts w:cs="MyriadPro-Bold"/>
                <w:b/>
                <w:bCs/>
              </w:rPr>
              <w:t>Como:</w:t>
            </w:r>
          </w:p>
          <w:p w:rsidR="00374C47" w:rsidRPr="00D07BA2" w:rsidRDefault="00374C47" w:rsidP="00374C47">
            <w:pPr>
              <w:autoSpaceDE w:val="0"/>
              <w:autoSpaceDN w:val="0"/>
              <w:adjustRightInd w:val="0"/>
              <w:rPr>
                <w:rFonts w:cs="MyriadPro-Regular"/>
              </w:rPr>
            </w:pPr>
            <w:r w:rsidRPr="00D07BA2">
              <w:rPr>
                <w:rFonts w:cs="Symbol"/>
              </w:rPr>
              <w:t></w:t>
            </w:r>
            <w:r w:rsidRPr="00D07BA2">
              <w:rPr>
                <w:rFonts w:cs="MyriadPro-Regular"/>
              </w:rPr>
              <w:t>Significaciones semejantes (sinonimia).</w:t>
            </w:r>
          </w:p>
          <w:p w:rsidR="00374C47" w:rsidRPr="00D07BA2" w:rsidRDefault="00374C47" w:rsidP="00374C47">
            <w:pPr>
              <w:autoSpaceDE w:val="0"/>
              <w:autoSpaceDN w:val="0"/>
              <w:adjustRightInd w:val="0"/>
              <w:rPr>
                <w:rFonts w:cs="MyriadPro-Regular"/>
              </w:rPr>
            </w:pPr>
            <w:r w:rsidRPr="00D07BA2">
              <w:rPr>
                <w:rFonts w:cs="Symbol"/>
              </w:rPr>
              <w:t></w:t>
            </w:r>
            <w:r w:rsidRPr="00D07BA2">
              <w:rPr>
                <w:rFonts w:cs="MyriadPro-Regular"/>
              </w:rPr>
              <w:t>Significaciones diferentes (antonimia).</w:t>
            </w:r>
          </w:p>
          <w:p w:rsidR="00374C47" w:rsidRPr="00D07BA2" w:rsidRDefault="00374C47" w:rsidP="00374C47">
            <w:pPr>
              <w:autoSpaceDE w:val="0"/>
              <w:autoSpaceDN w:val="0"/>
              <w:adjustRightInd w:val="0"/>
            </w:pPr>
            <w:r w:rsidRPr="00D07BA2">
              <w:rPr>
                <w:rFonts w:cs="Symbol"/>
              </w:rPr>
              <w:t></w:t>
            </w:r>
            <w:r w:rsidRPr="00D07BA2">
              <w:rPr>
                <w:rFonts w:cs="MyriadPro-Regular"/>
              </w:rPr>
              <w:t>Signifi</w:t>
            </w:r>
            <w:r w:rsidR="002120A1">
              <w:rPr>
                <w:rFonts w:cs="MyriadPro-Regular"/>
              </w:rPr>
              <w:t>caciones múltiples (polisemia).)</w:t>
            </w:r>
          </w:p>
        </w:tc>
        <w:tc>
          <w:tcPr>
            <w:tcW w:w="2127" w:type="dxa"/>
          </w:tcPr>
          <w:p w:rsidR="00FC3DF4" w:rsidRPr="00D07BA2" w:rsidRDefault="00FC3DF4" w:rsidP="00FC3DF4">
            <w:pPr>
              <w:jc w:val="center"/>
              <w:rPr>
                <w:color w:val="000000" w:themeColor="text1"/>
              </w:rPr>
            </w:pPr>
          </w:p>
          <w:p w:rsidR="00FC3DF4" w:rsidRPr="00D07BA2" w:rsidRDefault="00FC3DF4" w:rsidP="00FC3DF4">
            <w:pPr>
              <w:jc w:val="center"/>
              <w:rPr>
                <w:color w:val="BF8F00" w:themeColor="accent4" w:themeShade="BF"/>
              </w:rPr>
            </w:pPr>
            <w:r w:rsidRPr="00D07BA2">
              <w:rPr>
                <w:color w:val="BF8F00" w:themeColor="accent4" w:themeShade="BF"/>
              </w:rPr>
              <w:t>Selecciona  familias léxicas y campos semánticos</w:t>
            </w:r>
            <w:r w:rsidR="00FD0A5E" w:rsidRPr="00D07BA2">
              <w:rPr>
                <w:color w:val="BF8F00" w:themeColor="accent4" w:themeShade="BF"/>
              </w:rPr>
              <w:t xml:space="preserve"> para su producción oral y escrita</w:t>
            </w:r>
            <w:r w:rsidRPr="00D07BA2">
              <w:rPr>
                <w:color w:val="BF8F00" w:themeColor="accent4" w:themeShade="BF"/>
              </w:rPr>
              <w:t>.</w:t>
            </w:r>
          </w:p>
          <w:p w:rsidR="00FC3DF4" w:rsidRPr="00D07BA2" w:rsidRDefault="00FC3DF4" w:rsidP="00FC3DF4">
            <w:pPr>
              <w:jc w:val="center"/>
              <w:rPr>
                <w:color w:val="BF8F00" w:themeColor="accent4" w:themeShade="BF"/>
              </w:rPr>
            </w:pPr>
          </w:p>
          <w:p w:rsidR="00FC3DF4" w:rsidRPr="00D07BA2" w:rsidRDefault="00FC3DF4" w:rsidP="00FC3DF4">
            <w:pPr>
              <w:jc w:val="center"/>
              <w:rPr>
                <w:color w:val="BF8F00" w:themeColor="accent4" w:themeShade="BF"/>
              </w:rPr>
            </w:pPr>
          </w:p>
          <w:p w:rsidR="00FC3DF4" w:rsidRPr="00D07BA2" w:rsidRDefault="00FC3DF4" w:rsidP="00FC3DF4">
            <w:pPr>
              <w:jc w:val="center"/>
              <w:rPr>
                <w:color w:val="BF8F00" w:themeColor="accent4" w:themeShade="BF"/>
              </w:rPr>
            </w:pPr>
          </w:p>
          <w:p w:rsidR="00FC3DF4" w:rsidRPr="00D07BA2" w:rsidRDefault="00FC3DF4" w:rsidP="00FC3DF4">
            <w:pPr>
              <w:jc w:val="center"/>
              <w:rPr>
                <w:color w:val="BF8F00" w:themeColor="accent4" w:themeShade="BF"/>
              </w:rPr>
            </w:pPr>
            <w:r w:rsidRPr="00D07BA2">
              <w:rPr>
                <w:color w:val="BF8F00" w:themeColor="accent4" w:themeShade="BF"/>
              </w:rPr>
              <w:t>Formula sinónimos, antónimos parónimos y homónimos</w:t>
            </w:r>
            <w:r w:rsidR="000E6F4D" w:rsidRPr="00D07BA2">
              <w:rPr>
                <w:color w:val="BF8F00" w:themeColor="accent4" w:themeShade="BF"/>
              </w:rPr>
              <w:t xml:space="preserve"> en situaciones comunicativas</w:t>
            </w:r>
            <w:r w:rsidRPr="00D07BA2">
              <w:rPr>
                <w:color w:val="BF8F00" w:themeColor="accent4" w:themeShade="BF"/>
              </w:rPr>
              <w:t>.</w:t>
            </w:r>
          </w:p>
          <w:p w:rsidR="00FC3DF4" w:rsidRPr="00D07BA2" w:rsidRDefault="00FC3DF4" w:rsidP="00FC3DF4">
            <w:pPr>
              <w:jc w:val="center"/>
              <w:rPr>
                <w:color w:val="BF8F00" w:themeColor="accent4" w:themeShade="BF"/>
              </w:rPr>
            </w:pPr>
          </w:p>
          <w:p w:rsidR="00FC3DF4" w:rsidRPr="00D07BA2" w:rsidRDefault="00FC3DF4" w:rsidP="00FC3DF4">
            <w:pPr>
              <w:jc w:val="center"/>
              <w:rPr>
                <w:color w:val="BF8F00" w:themeColor="accent4" w:themeShade="BF"/>
              </w:rPr>
            </w:pPr>
          </w:p>
          <w:p w:rsidR="003B57AF" w:rsidRPr="00D07BA2" w:rsidRDefault="00FC3DF4" w:rsidP="003B57AF">
            <w:pPr>
              <w:autoSpaceDE w:val="0"/>
              <w:autoSpaceDN w:val="0"/>
              <w:adjustRightInd w:val="0"/>
              <w:jc w:val="center"/>
              <w:rPr>
                <w:color w:val="BF8F00" w:themeColor="accent4" w:themeShade="BF"/>
              </w:rPr>
            </w:pPr>
            <w:r w:rsidRPr="00D07BA2">
              <w:rPr>
                <w:color w:val="BF8F00" w:themeColor="accent4" w:themeShade="BF"/>
              </w:rPr>
              <w:t xml:space="preserve">Demuestra </w:t>
            </w:r>
            <w:r w:rsidR="003B57AF" w:rsidRPr="00D07BA2">
              <w:rPr>
                <w:color w:val="BF8F00" w:themeColor="accent4" w:themeShade="BF"/>
              </w:rPr>
              <w:t xml:space="preserve">el uso correcto de significaciones </w:t>
            </w:r>
            <w:r w:rsidR="003B57AF" w:rsidRPr="00D07BA2">
              <w:rPr>
                <w:color w:val="BF8F00" w:themeColor="accent4" w:themeShade="BF"/>
              </w:rPr>
              <w:lastRenderedPageBreak/>
              <w:t>semejantes (sinonimia).</w:t>
            </w:r>
          </w:p>
          <w:p w:rsidR="003B57AF" w:rsidRPr="00D07BA2" w:rsidRDefault="003B57AF" w:rsidP="003B57AF">
            <w:pPr>
              <w:autoSpaceDE w:val="0"/>
              <w:autoSpaceDN w:val="0"/>
              <w:adjustRightInd w:val="0"/>
              <w:jc w:val="center"/>
              <w:rPr>
                <w:color w:val="BF8F00" w:themeColor="accent4" w:themeShade="BF"/>
              </w:rPr>
            </w:pPr>
            <w:r w:rsidRPr="00D07BA2">
              <w:rPr>
                <w:color w:val="BF8F00" w:themeColor="accent4" w:themeShade="BF"/>
              </w:rPr>
              <w:t xml:space="preserve"> Significaciones diferentes (antonimia).</w:t>
            </w:r>
          </w:p>
          <w:p w:rsidR="00FC3DF4" w:rsidRPr="00D07BA2" w:rsidRDefault="003B57AF" w:rsidP="003B57AF">
            <w:pPr>
              <w:jc w:val="center"/>
              <w:rPr>
                <w:color w:val="BF8F00" w:themeColor="accent4" w:themeShade="BF"/>
              </w:rPr>
            </w:pPr>
            <w:r w:rsidRPr="00D07BA2">
              <w:rPr>
                <w:color w:val="BF8F00" w:themeColor="accent4" w:themeShade="BF"/>
              </w:rPr>
              <w:t>Significaciones múltiples (polisemia)</w:t>
            </w:r>
            <w:r w:rsidR="002120A1">
              <w:rPr>
                <w:color w:val="BF8F00" w:themeColor="accent4" w:themeShade="BF"/>
              </w:rPr>
              <w:t>.</w:t>
            </w:r>
          </w:p>
          <w:p w:rsidR="00FC3DF4" w:rsidRPr="00D07BA2" w:rsidRDefault="00FC3DF4" w:rsidP="00FC3DF4"/>
          <w:p w:rsidR="00FC3DF4" w:rsidRPr="00D07BA2" w:rsidRDefault="00FC3DF4" w:rsidP="00FC3DF4"/>
          <w:p w:rsidR="00FC3DF4" w:rsidRPr="00D07BA2" w:rsidRDefault="00FC3DF4" w:rsidP="00FC3DF4">
            <w:pPr>
              <w:jc w:val="center"/>
            </w:pPr>
          </w:p>
          <w:p w:rsidR="00FC3DF4" w:rsidRPr="00D07BA2" w:rsidRDefault="00A6220A" w:rsidP="00FC3DF4">
            <w:pPr>
              <w:pStyle w:val="Sinespaciado"/>
              <w:jc w:val="center"/>
              <w:rPr>
                <w:rFonts w:asciiTheme="minorHAnsi" w:hAnsiTheme="minorHAnsi" w:cs="Arial"/>
                <w:color w:val="C45911" w:themeColor="accent2" w:themeShade="BF"/>
                <w:sz w:val="22"/>
                <w:szCs w:val="22"/>
              </w:rPr>
            </w:pPr>
            <w:r w:rsidRPr="00D07BA2">
              <w:rPr>
                <w:rFonts w:asciiTheme="minorHAnsi" w:hAnsiTheme="minorHAnsi" w:cs="Arial"/>
                <w:color w:val="C45911" w:themeColor="accent2" w:themeShade="BF"/>
                <w:sz w:val="22"/>
                <w:szCs w:val="22"/>
              </w:rPr>
              <w:t xml:space="preserve"> Utiliza </w:t>
            </w:r>
            <w:r w:rsidR="003B57AF" w:rsidRPr="00D07BA2">
              <w:rPr>
                <w:rFonts w:asciiTheme="minorHAnsi" w:hAnsiTheme="minorHAnsi" w:cs="Arial"/>
                <w:color w:val="C45911" w:themeColor="accent2" w:themeShade="BF"/>
                <w:sz w:val="22"/>
                <w:szCs w:val="22"/>
              </w:rPr>
              <w:t>en forma oral y escrita sinónimos, parónimo</w:t>
            </w:r>
            <w:r w:rsidR="00AC6C34">
              <w:rPr>
                <w:rFonts w:asciiTheme="minorHAnsi" w:hAnsiTheme="minorHAnsi" w:cs="Arial"/>
                <w:color w:val="C45911" w:themeColor="accent2" w:themeShade="BF"/>
                <w:sz w:val="22"/>
                <w:szCs w:val="22"/>
              </w:rPr>
              <w:t>s</w:t>
            </w:r>
            <w:r w:rsidR="003B57AF" w:rsidRPr="00D07BA2">
              <w:rPr>
                <w:rFonts w:asciiTheme="minorHAnsi" w:hAnsiTheme="minorHAnsi" w:cs="Arial"/>
                <w:color w:val="C45911" w:themeColor="accent2" w:themeShade="BF"/>
                <w:sz w:val="22"/>
                <w:szCs w:val="22"/>
              </w:rPr>
              <w:t xml:space="preserve"> y homónimos</w:t>
            </w:r>
            <w:r w:rsidRPr="00D07BA2">
              <w:rPr>
                <w:rFonts w:asciiTheme="minorHAnsi" w:hAnsiTheme="minorHAnsi" w:cs="Arial"/>
                <w:color w:val="C45911" w:themeColor="accent2" w:themeShade="BF"/>
                <w:sz w:val="22"/>
                <w:szCs w:val="22"/>
              </w:rPr>
              <w:t>.</w:t>
            </w:r>
          </w:p>
          <w:p w:rsidR="00FC3DF4" w:rsidRPr="00D07BA2" w:rsidRDefault="00FC3DF4" w:rsidP="00FC3DF4">
            <w:pPr>
              <w:pStyle w:val="Sinespaciado"/>
              <w:jc w:val="center"/>
              <w:rPr>
                <w:rFonts w:asciiTheme="minorHAnsi" w:hAnsiTheme="minorHAnsi" w:cs="Arial"/>
                <w:color w:val="C45911" w:themeColor="accent2" w:themeShade="BF"/>
                <w:sz w:val="22"/>
                <w:szCs w:val="22"/>
              </w:rPr>
            </w:pPr>
          </w:p>
          <w:p w:rsidR="00FC3DF4" w:rsidRPr="00D07BA2" w:rsidRDefault="00FC3DF4" w:rsidP="00FC3DF4">
            <w:pPr>
              <w:pStyle w:val="Sinespaciado"/>
              <w:jc w:val="center"/>
              <w:rPr>
                <w:rFonts w:asciiTheme="minorHAnsi" w:hAnsiTheme="minorHAnsi" w:cs="Arial"/>
                <w:color w:val="C45911" w:themeColor="accent2" w:themeShade="BF"/>
                <w:sz w:val="22"/>
                <w:szCs w:val="22"/>
              </w:rPr>
            </w:pPr>
          </w:p>
          <w:p w:rsidR="00FC3DF4" w:rsidRPr="00D07BA2" w:rsidRDefault="003B57AF" w:rsidP="00FC3DF4">
            <w:pPr>
              <w:pStyle w:val="Sinespaciado"/>
              <w:jc w:val="center"/>
              <w:rPr>
                <w:rFonts w:asciiTheme="minorHAnsi" w:hAnsiTheme="minorHAnsi" w:cs="Arial"/>
                <w:color w:val="C45911" w:themeColor="accent2" w:themeShade="BF"/>
                <w:sz w:val="22"/>
                <w:szCs w:val="22"/>
              </w:rPr>
            </w:pPr>
            <w:r w:rsidRPr="00D07BA2">
              <w:rPr>
                <w:rFonts w:asciiTheme="minorHAnsi" w:hAnsiTheme="minorHAnsi" w:cs="Arial"/>
                <w:color w:val="C45911" w:themeColor="accent2" w:themeShade="BF"/>
                <w:sz w:val="22"/>
                <w:szCs w:val="22"/>
              </w:rPr>
              <w:t xml:space="preserve">Utiliza nueva información </w:t>
            </w:r>
            <w:r w:rsidR="003A268A" w:rsidRPr="00D07BA2">
              <w:rPr>
                <w:rFonts w:asciiTheme="minorHAnsi" w:hAnsiTheme="minorHAnsi" w:cs="Arial"/>
                <w:color w:val="C45911" w:themeColor="accent2" w:themeShade="BF"/>
                <w:sz w:val="22"/>
                <w:szCs w:val="22"/>
              </w:rPr>
              <w:t xml:space="preserve">(familias léxicas) </w:t>
            </w:r>
            <w:r w:rsidRPr="00D07BA2">
              <w:rPr>
                <w:rFonts w:asciiTheme="minorHAnsi" w:hAnsiTheme="minorHAnsi" w:cs="Arial"/>
                <w:color w:val="C45911" w:themeColor="accent2" w:themeShade="BF"/>
                <w:sz w:val="22"/>
                <w:szCs w:val="22"/>
              </w:rPr>
              <w:t>para enriquecer las producciones orales, escritas plástica y otras, que desea realizar.</w:t>
            </w:r>
          </w:p>
          <w:p w:rsidR="00FC3DF4" w:rsidRPr="00D07BA2" w:rsidRDefault="00FC3DF4" w:rsidP="00FC3DF4">
            <w:pPr>
              <w:pStyle w:val="Sinespaciado"/>
              <w:jc w:val="center"/>
              <w:rPr>
                <w:rFonts w:asciiTheme="minorHAnsi" w:hAnsiTheme="minorHAnsi" w:cs="Arial"/>
                <w:color w:val="C45911" w:themeColor="accent2" w:themeShade="BF"/>
                <w:sz w:val="22"/>
                <w:szCs w:val="22"/>
              </w:rPr>
            </w:pPr>
          </w:p>
          <w:p w:rsidR="00FC3DF4" w:rsidRPr="00D07BA2" w:rsidRDefault="00FC3DF4" w:rsidP="003B57AF">
            <w:pPr>
              <w:pStyle w:val="Sinespaciado"/>
              <w:jc w:val="center"/>
              <w:rPr>
                <w:rFonts w:asciiTheme="minorHAnsi" w:hAnsiTheme="minorHAnsi"/>
                <w:sz w:val="22"/>
                <w:szCs w:val="22"/>
              </w:rPr>
            </w:pPr>
          </w:p>
        </w:tc>
        <w:tc>
          <w:tcPr>
            <w:tcW w:w="4875" w:type="dxa"/>
          </w:tcPr>
          <w:p w:rsidR="00FC3DF4" w:rsidRPr="00D07BA2" w:rsidRDefault="00FC3DF4" w:rsidP="00FC3DF4">
            <w:pPr>
              <w:jc w:val="both"/>
              <w:rPr>
                <w:rFonts w:eastAsia="Times New Roman" w:cs="Arial"/>
                <w:lang w:eastAsia="es-CR"/>
              </w:rPr>
            </w:pPr>
          </w:p>
          <w:p w:rsidR="003B57AF" w:rsidRPr="00D07BA2" w:rsidRDefault="003B57AF" w:rsidP="003B57AF">
            <w:pPr>
              <w:jc w:val="center"/>
              <w:rPr>
                <w:color w:val="BF8F00" w:themeColor="accent4" w:themeShade="BF"/>
              </w:rPr>
            </w:pPr>
          </w:p>
          <w:p w:rsidR="003B57AF" w:rsidRPr="00D07BA2" w:rsidRDefault="003B57AF" w:rsidP="003B57AF">
            <w:pPr>
              <w:jc w:val="center"/>
              <w:rPr>
                <w:color w:val="BF8F00" w:themeColor="accent4" w:themeShade="BF"/>
              </w:rPr>
            </w:pPr>
          </w:p>
          <w:p w:rsidR="003B57AF" w:rsidRPr="00D07BA2" w:rsidRDefault="003B57AF" w:rsidP="003B57AF">
            <w:pPr>
              <w:jc w:val="center"/>
              <w:rPr>
                <w:color w:val="BF8F00" w:themeColor="accent4" w:themeShade="BF"/>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3B57AF" w:rsidRPr="00D07BA2" w:rsidRDefault="003B57AF" w:rsidP="003B57AF">
            <w:pPr>
              <w:jc w:val="center"/>
              <w:rPr>
                <w:color w:val="FF0000"/>
              </w:rPr>
            </w:pPr>
          </w:p>
          <w:p w:rsidR="00FC3DF4" w:rsidRPr="00D07BA2" w:rsidRDefault="00FC3DF4" w:rsidP="003B57AF">
            <w:pPr>
              <w:jc w:val="center"/>
              <w:rPr>
                <w:b/>
              </w:rPr>
            </w:pPr>
          </w:p>
        </w:tc>
      </w:tr>
    </w:tbl>
    <w:p w:rsidR="00FC3DF4" w:rsidRPr="00D07BA2" w:rsidRDefault="00FC3DF4" w:rsidP="00FC3DF4">
      <w:pPr>
        <w:spacing w:after="0"/>
        <w:jc w:val="center"/>
        <w:rPr>
          <w:b/>
        </w:rPr>
      </w:pPr>
    </w:p>
    <w:p w:rsidR="003B57AF" w:rsidRPr="00D07BA2" w:rsidRDefault="003B57AF" w:rsidP="003B57AF">
      <w:pPr>
        <w:jc w:val="center"/>
        <w:rPr>
          <w:b/>
        </w:rPr>
      </w:pPr>
    </w:p>
    <w:p w:rsidR="003B57AF" w:rsidRPr="00D07BA2" w:rsidRDefault="003B57AF" w:rsidP="003B57AF">
      <w:pPr>
        <w:jc w:val="center"/>
        <w:rPr>
          <w:b/>
        </w:rPr>
      </w:pPr>
    </w:p>
    <w:p w:rsidR="003B57AF" w:rsidRPr="00D07BA2" w:rsidRDefault="003B57AF" w:rsidP="003B57AF">
      <w:pPr>
        <w:jc w:val="center"/>
        <w:rPr>
          <w:b/>
        </w:rPr>
      </w:pPr>
    </w:p>
    <w:p w:rsidR="001644B8" w:rsidRPr="00D07BA2" w:rsidRDefault="001644B8" w:rsidP="003B57AF">
      <w:pPr>
        <w:jc w:val="center"/>
        <w:rPr>
          <w:b/>
        </w:rPr>
      </w:pPr>
    </w:p>
    <w:p w:rsidR="001644B8" w:rsidRPr="00D07BA2" w:rsidRDefault="001644B8" w:rsidP="003B57AF">
      <w:pPr>
        <w:jc w:val="center"/>
        <w:rPr>
          <w:b/>
        </w:rPr>
      </w:pPr>
    </w:p>
    <w:p w:rsidR="00BB6355" w:rsidRPr="003053CA" w:rsidRDefault="00BB6355" w:rsidP="00BB6355">
      <w:pPr>
        <w:tabs>
          <w:tab w:val="center" w:pos="4419"/>
        </w:tabs>
        <w:spacing w:after="0"/>
        <w:rPr>
          <w:b/>
        </w:rPr>
      </w:pPr>
      <w:r w:rsidRPr="003053CA">
        <w:rPr>
          <w:b/>
        </w:rPr>
        <w:t>Sección III. Instrumentos de evaluación.</w:t>
      </w:r>
      <w:r>
        <w:rPr>
          <w:b/>
        </w:rPr>
        <w:tab/>
      </w:r>
    </w:p>
    <w:p w:rsidR="001644B8" w:rsidRPr="00D07BA2" w:rsidRDefault="001644B8" w:rsidP="003B57AF">
      <w:pPr>
        <w:jc w:val="center"/>
        <w:rPr>
          <w:b/>
        </w:rPr>
      </w:pPr>
    </w:p>
    <w:p w:rsidR="00FC3DF4" w:rsidRPr="00D07BA2" w:rsidRDefault="00FC3DF4" w:rsidP="003B57AF">
      <w:pPr>
        <w:jc w:val="center"/>
        <w:rPr>
          <w:b/>
        </w:rPr>
      </w:pPr>
      <w:r w:rsidRPr="00D07BA2">
        <w:rPr>
          <w:b/>
        </w:rPr>
        <w:t>Instrumento de proceso</w:t>
      </w:r>
    </w:p>
    <w:p w:rsidR="00FC3DF4" w:rsidRPr="00D07BA2" w:rsidRDefault="00FC3DF4" w:rsidP="00FC3DF4">
      <w:pPr>
        <w:spacing w:after="0"/>
        <w:jc w:val="center"/>
        <w:rPr>
          <w:b/>
        </w:rPr>
      </w:pPr>
    </w:p>
    <w:tbl>
      <w:tblPr>
        <w:tblStyle w:val="Tablaconcuadrcula"/>
        <w:tblW w:w="5000" w:type="pct"/>
        <w:tblLook w:val="04A0" w:firstRow="1" w:lastRow="0" w:firstColumn="1" w:lastColumn="0" w:noHBand="0" w:noVBand="1"/>
      </w:tblPr>
      <w:tblGrid>
        <w:gridCol w:w="3048"/>
        <w:gridCol w:w="3048"/>
        <w:gridCol w:w="2269"/>
        <w:gridCol w:w="2160"/>
        <w:gridCol w:w="2469"/>
      </w:tblGrid>
      <w:tr w:rsidR="00D07BA2" w:rsidRPr="00D07BA2" w:rsidTr="003B2801">
        <w:tc>
          <w:tcPr>
            <w:tcW w:w="1173" w:type="pct"/>
            <w:vAlign w:val="center"/>
          </w:tcPr>
          <w:p w:rsidR="00D07BA2" w:rsidRPr="00D07BA2" w:rsidRDefault="00D07BA2" w:rsidP="00D07BA2">
            <w:pPr>
              <w:pStyle w:val="Sinespaciado"/>
              <w:jc w:val="center"/>
              <w:rPr>
                <w:rFonts w:asciiTheme="minorHAnsi" w:eastAsiaTheme="minorHAnsi" w:hAnsiTheme="minorHAnsi" w:cstheme="minorBidi"/>
                <w:b/>
                <w:sz w:val="22"/>
                <w:szCs w:val="22"/>
                <w:lang w:eastAsia="en-US"/>
              </w:rPr>
            </w:pPr>
            <w:r w:rsidRPr="00D07BA2">
              <w:rPr>
                <w:rFonts w:asciiTheme="minorHAnsi" w:eastAsiaTheme="minorHAnsi" w:hAnsiTheme="minorHAnsi" w:cstheme="minorBidi"/>
                <w:b/>
                <w:sz w:val="22"/>
                <w:szCs w:val="22"/>
                <w:lang w:eastAsia="en-US"/>
              </w:rPr>
              <w:t>Indicador  (pautas para el desarrollo de la habilidad)</w:t>
            </w:r>
          </w:p>
        </w:tc>
        <w:tc>
          <w:tcPr>
            <w:tcW w:w="1173" w:type="pct"/>
          </w:tcPr>
          <w:p w:rsidR="00D07BA2" w:rsidRPr="00D07BA2" w:rsidRDefault="00D07BA2" w:rsidP="00D07BA2">
            <w:pPr>
              <w:jc w:val="center"/>
              <w:rPr>
                <w:b/>
              </w:rPr>
            </w:pPr>
            <w:r w:rsidRPr="00D07BA2">
              <w:rPr>
                <w:b/>
              </w:rPr>
              <w:t>Indicadores del aprendizaje esperado</w:t>
            </w:r>
          </w:p>
        </w:tc>
        <w:tc>
          <w:tcPr>
            <w:tcW w:w="873" w:type="pct"/>
          </w:tcPr>
          <w:p w:rsidR="00D07BA2" w:rsidRPr="00D07BA2" w:rsidRDefault="00D07BA2" w:rsidP="00D07BA2">
            <w:pPr>
              <w:jc w:val="center"/>
              <w:rPr>
                <w:b/>
              </w:rPr>
            </w:pPr>
            <w:r w:rsidRPr="00D07BA2">
              <w:rPr>
                <w:b/>
              </w:rPr>
              <w:t>Inicial</w:t>
            </w:r>
          </w:p>
        </w:tc>
        <w:tc>
          <w:tcPr>
            <w:tcW w:w="831" w:type="pct"/>
          </w:tcPr>
          <w:p w:rsidR="00D07BA2" w:rsidRPr="00D07BA2" w:rsidRDefault="00D07BA2" w:rsidP="00D07BA2">
            <w:pPr>
              <w:jc w:val="center"/>
              <w:rPr>
                <w:b/>
              </w:rPr>
            </w:pPr>
            <w:r w:rsidRPr="00D07BA2">
              <w:rPr>
                <w:b/>
              </w:rPr>
              <w:t>Intermedio</w:t>
            </w:r>
          </w:p>
        </w:tc>
        <w:tc>
          <w:tcPr>
            <w:tcW w:w="950" w:type="pct"/>
          </w:tcPr>
          <w:p w:rsidR="00D07BA2" w:rsidRPr="00D07BA2" w:rsidRDefault="00D07BA2" w:rsidP="00D07BA2">
            <w:pPr>
              <w:jc w:val="center"/>
              <w:rPr>
                <w:b/>
              </w:rPr>
            </w:pPr>
            <w:r w:rsidRPr="00D07BA2">
              <w:rPr>
                <w:b/>
              </w:rPr>
              <w:t>Avanzado</w:t>
            </w:r>
          </w:p>
        </w:tc>
      </w:tr>
      <w:tr w:rsidR="00D07BA2" w:rsidRPr="00D07BA2" w:rsidTr="00D07BA2">
        <w:trPr>
          <w:trHeight w:val="945"/>
        </w:trPr>
        <w:tc>
          <w:tcPr>
            <w:tcW w:w="1173" w:type="pct"/>
          </w:tcPr>
          <w:p w:rsidR="00D07BA2" w:rsidRPr="00D07BA2" w:rsidRDefault="00D07BA2" w:rsidP="00D07BA2">
            <w:pPr>
              <w:pStyle w:val="Sinespaciado"/>
              <w:jc w:val="center"/>
              <w:rPr>
                <w:rFonts w:asciiTheme="minorHAnsi" w:hAnsiTheme="minorHAnsi" w:cs="Arial"/>
                <w:b/>
                <w:sz w:val="22"/>
                <w:szCs w:val="22"/>
              </w:rPr>
            </w:pPr>
            <w:r w:rsidRPr="00D07BA2">
              <w:rPr>
                <w:rFonts w:asciiTheme="minorHAnsi" w:hAnsiTheme="minorHAnsi" w:cs="Arial"/>
                <w:b/>
                <w:sz w:val="22"/>
                <w:szCs w:val="22"/>
              </w:rPr>
              <w:t>Planificación</w:t>
            </w:r>
          </w:p>
          <w:p w:rsidR="00D07BA2" w:rsidRPr="00D07BA2" w:rsidRDefault="00D07BA2" w:rsidP="00D07BA2">
            <w:pPr>
              <w:pStyle w:val="Sinespaciado"/>
              <w:jc w:val="center"/>
              <w:rPr>
                <w:rFonts w:asciiTheme="minorHAnsi" w:hAnsiTheme="minorHAnsi"/>
                <w:color w:val="000000" w:themeColor="text1"/>
                <w:sz w:val="22"/>
                <w:szCs w:val="22"/>
              </w:rPr>
            </w:pPr>
          </w:p>
        </w:tc>
        <w:tc>
          <w:tcPr>
            <w:tcW w:w="1173" w:type="pct"/>
            <w:vAlign w:val="center"/>
          </w:tcPr>
          <w:p w:rsidR="00D07BA2" w:rsidRPr="00D07BA2" w:rsidRDefault="00D07BA2" w:rsidP="00D07BA2">
            <w:pPr>
              <w:jc w:val="center"/>
              <w:rPr>
                <w:color w:val="BF8F00" w:themeColor="accent4" w:themeShade="BF"/>
              </w:rPr>
            </w:pPr>
            <w:r w:rsidRPr="00D07BA2">
              <w:rPr>
                <w:color w:val="BF8F00" w:themeColor="accent4" w:themeShade="BF"/>
              </w:rPr>
              <w:t>Selecciona  familias léxicas y campos semánticos para su producción oral y escrita.</w:t>
            </w:r>
          </w:p>
          <w:p w:rsidR="00D07BA2" w:rsidRPr="00D07BA2" w:rsidRDefault="00D07BA2" w:rsidP="00D07BA2">
            <w:pPr>
              <w:jc w:val="center"/>
              <w:rPr>
                <w:color w:val="BF8F00" w:themeColor="accent4" w:themeShade="BF"/>
              </w:rPr>
            </w:pPr>
          </w:p>
        </w:tc>
        <w:tc>
          <w:tcPr>
            <w:tcW w:w="873" w:type="pct"/>
          </w:tcPr>
          <w:p w:rsidR="00D07BA2" w:rsidRPr="00D07BA2" w:rsidRDefault="00D07BA2" w:rsidP="00D07BA2">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t xml:space="preserve">Menciona las características de los sinónimos, antónimos, parónimos y homónimos. </w:t>
            </w:r>
          </w:p>
        </w:tc>
        <w:tc>
          <w:tcPr>
            <w:tcW w:w="831" w:type="pct"/>
            <w:vAlign w:val="center"/>
          </w:tcPr>
          <w:p w:rsidR="00D07BA2" w:rsidRPr="00D07BA2" w:rsidRDefault="00D07BA2" w:rsidP="00D07BA2">
            <w:pPr>
              <w:jc w:val="center"/>
              <w:rPr>
                <w:color w:val="000000" w:themeColor="text1"/>
              </w:rPr>
            </w:pPr>
            <w:r w:rsidRPr="00D07BA2">
              <w:rPr>
                <w:color w:val="000000" w:themeColor="text1"/>
              </w:rPr>
              <w:t>Asocia sinónimos, antónimos, parónimos y homónimos.</w:t>
            </w:r>
          </w:p>
        </w:tc>
        <w:tc>
          <w:tcPr>
            <w:tcW w:w="950" w:type="pct"/>
            <w:vAlign w:val="center"/>
          </w:tcPr>
          <w:p w:rsidR="00D07BA2" w:rsidRPr="00D07BA2" w:rsidRDefault="00D07BA2" w:rsidP="00D07BA2">
            <w:pPr>
              <w:jc w:val="center"/>
              <w:rPr>
                <w:color w:val="000000" w:themeColor="text1"/>
              </w:rPr>
            </w:pPr>
            <w:r w:rsidRPr="00D07BA2">
              <w:rPr>
                <w:color w:val="000000" w:themeColor="text1"/>
              </w:rPr>
              <w:t>Precisa sinónimos, antónimos, parónimos y homónimos en las producciones textuales, tanto orales como escritas.</w:t>
            </w:r>
          </w:p>
        </w:tc>
      </w:tr>
      <w:tr w:rsidR="00D07BA2" w:rsidRPr="00D07BA2" w:rsidTr="00D07BA2">
        <w:trPr>
          <w:trHeight w:val="857"/>
        </w:trPr>
        <w:tc>
          <w:tcPr>
            <w:tcW w:w="1173" w:type="pct"/>
          </w:tcPr>
          <w:p w:rsidR="00D07BA2" w:rsidRPr="00D07BA2" w:rsidRDefault="00D07BA2" w:rsidP="00D07BA2">
            <w:pPr>
              <w:pStyle w:val="Sinespaciado"/>
              <w:jc w:val="center"/>
              <w:rPr>
                <w:rFonts w:asciiTheme="minorHAnsi" w:hAnsiTheme="minorHAnsi" w:cs="Arial"/>
                <w:b/>
                <w:sz w:val="22"/>
                <w:szCs w:val="22"/>
              </w:rPr>
            </w:pPr>
            <w:r w:rsidRPr="00D07BA2">
              <w:rPr>
                <w:rFonts w:asciiTheme="minorHAnsi" w:hAnsiTheme="minorHAnsi" w:cs="Arial"/>
                <w:b/>
                <w:sz w:val="22"/>
                <w:szCs w:val="22"/>
              </w:rPr>
              <w:t>Autorregulación</w:t>
            </w:r>
          </w:p>
          <w:p w:rsidR="00D07BA2" w:rsidRPr="00D07BA2" w:rsidRDefault="00D07BA2" w:rsidP="00D07BA2">
            <w:pPr>
              <w:pStyle w:val="Sinespaciado"/>
              <w:jc w:val="center"/>
              <w:rPr>
                <w:rFonts w:asciiTheme="minorHAnsi" w:hAnsiTheme="minorHAnsi"/>
                <w:color w:val="000000" w:themeColor="text1"/>
                <w:sz w:val="22"/>
                <w:szCs w:val="22"/>
              </w:rPr>
            </w:pPr>
          </w:p>
        </w:tc>
        <w:tc>
          <w:tcPr>
            <w:tcW w:w="1173" w:type="pct"/>
            <w:vAlign w:val="center"/>
          </w:tcPr>
          <w:p w:rsidR="00D07BA2" w:rsidRPr="00D07BA2" w:rsidRDefault="00D07BA2" w:rsidP="00D07BA2">
            <w:pPr>
              <w:jc w:val="center"/>
              <w:rPr>
                <w:color w:val="BF8F00" w:themeColor="accent4" w:themeShade="BF"/>
              </w:rPr>
            </w:pPr>
            <w:r w:rsidRPr="00D07BA2">
              <w:rPr>
                <w:color w:val="BF8F00" w:themeColor="accent4" w:themeShade="BF"/>
              </w:rPr>
              <w:t>Formula sinónimos, antónimos parónimos y homónimos en situaciones comunicativas.</w:t>
            </w:r>
          </w:p>
        </w:tc>
        <w:tc>
          <w:tcPr>
            <w:tcW w:w="873" w:type="pct"/>
          </w:tcPr>
          <w:p w:rsidR="00D07BA2" w:rsidRPr="00D07BA2" w:rsidRDefault="00D07BA2" w:rsidP="00D07BA2">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t>Menciona sinónimos, antónimos parónimos y homónimos en contextos de comunicación oral y escrita.</w:t>
            </w:r>
          </w:p>
        </w:tc>
        <w:tc>
          <w:tcPr>
            <w:tcW w:w="831" w:type="pct"/>
            <w:vAlign w:val="center"/>
          </w:tcPr>
          <w:p w:rsidR="00D07BA2" w:rsidRPr="00D07BA2" w:rsidRDefault="00D07BA2" w:rsidP="00D07BA2">
            <w:pPr>
              <w:jc w:val="center"/>
              <w:rPr>
                <w:color w:val="000000" w:themeColor="text1"/>
              </w:rPr>
            </w:pPr>
            <w:r w:rsidRPr="00D07BA2">
              <w:rPr>
                <w:color w:val="000000" w:themeColor="text1"/>
              </w:rPr>
              <w:t>Brinda detalles de  sinónimos, antónimos parónimos y homónimos en contextos de comunicación oral y escrita.</w:t>
            </w:r>
          </w:p>
        </w:tc>
        <w:tc>
          <w:tcPr>
            <w:tcW w:w="950" w:type="pct"/>
            <w:vAlign w:val="center"/>
          </w:tcPr>
          <w:p w:rsidR="00D07BA2" w:rsidRPr="00D07BA2" w:rsidRDefault="00D07BA2" w:rsidP="00D07BA2">
            <w:pPr>
              <w:jc w:val="center"/>
              <w:rPr>
                <w:color w:val="000000" w:themeColor="text1"/>
              </w:rPr>
            </w:pPr>
            <w:r w:rsidRPr="00D07BA2">
              <w:rPr>
                <w:color w:val="000000" w:themeColor="text1"/>
              </w:rPr>
              <w:t>Especifica ejemplos de sinónimos, antónimos parónimos y homónimos en contextos de comunicación oral y escrita.</w:t>
            </w:r>
          </w:p>
        </w:tc>
      </w:tr>
      <w:tr w:rsidR="00D07BA2" w:rsidRPr="00D07BA2" w:rsidTr="00D07BA2">
        <w:trPr>
          <w:trHeight w:val="857"/>
        </w:trPr>
        <w:tc>
          <w:tcPr>
            <w:tcW w:w="1173" w:type="pct"/>
          </w:tcPr>
          <w:p w:rsidR="00D07BA2" w:rsidRPr="00D07BA2" w:rsidRDefault="00D07BA2" w:rsidP="00D07BA2">
            <w:pPr>
              <w:pStyle w:val="Sinespaciado"/>
              <w:jc w:val="center"/>
              <w:rPr>
                <w:rFonts w:asciiTheme="minorHAnsi" w:hAnsiTheme="minorHAnsi" w:cs="Arial"/>
                <w:b/>
                <w:sz w:val="22"/>
                <w:szCs w:val="22"/>
              </w:rPr>
            </w:pPr>
            <w:r w:rsidRPr="00D07BA2">
              <w:rPr>
                <w:rFonts w:asciiTheme="minorHAnsi" w:hAnsiTheme="minorHAnsi" w:cs="Arial"/>
                <w:b/>
                <w:sz w:val="22"/>
                <w:szCs w:val="22"/>
              </w:rPr>
              <w:t>Evaluación</w:t>
            </w:r>
          </w:p>
          <w:p w:rsidR="00D07BA2" w:rsidRPr="00D07BA2" w:rsidRDefault="00D07BA2" w:rsidP="00D07BA2">
            <w:pPr>
              <w:jc w:val="center"/>
            </w:pPr>
          </w:p>
        </w:tc>
        <w:tc>
          <w:tcPr>
            <w:tcW w:w="1173" w:type="pct"/>
            <w:vAlign w:val="center"/>
          </w:tcPr>
          <w:p w:rsidR="00D07BA2" w:rsidRPr="00D07BA2" w:rsidRDefault="00D07BA2" w:rsidP="00D07BA2">
            <w:pPr>
              <w:autoSpaceDE w:val="0"/>
              <w:autoSpaceDN w:val="0"/>
              <w:adjustRightInd w:val="0"/>
              <w:jc w:val="center"/>
              <w:rPr>
                <w:color w:val="BF8F00" w:themeColor="accent4" w:themeShade="BF"/>
              </w:rPr>
            </w:pPr>
            <w:r w:rsidRPr="00D07BA2">
              <w:rPr>
                <w:color w:val="BF8F00" w:themeColor="accent4" w:themeShade="BF"/>
              </w:rPr>
              <w:t>Demuestra el uso correcto de significaciones semejantes (sinonimia).</w:t>
            </w:r>
          </w:p>
          <w:p w:rsidR="00D07BA2" w:rsidRPr="00D07BA2" w:rsidRDefault="00D07BA2" w:rsidP="00D07BA2">
            <w:pPr>
              <w:autoSpaceDE w:val="0"/>
              <w:autoSpaceDN w:val="0"/>
              <w:adjustRightInd w:val="0"/>
              <w:jc w:val="center"/>
              <w:rPr>
                <w:color w:val="BF8F00" w:themeColor="accent4" w:themeShade="BF"/>
              </w:rPr>
            </w:pPr>
            <w:r w:rsidRPr="00D07BA2">
              <w:rPr>
                <w:color w:val="BF8F00" w:themeColor="accent4" w:themeShade="BF"/>
              </w:rPr>
              <w:t xml:space="preserve"> Significaciones diferentes (antonimia).</w:t>
            </w:r>
          </w:p>
          <w:p w:rsidR="00D07BA2" w:rsidRPr="00D07BA2" w:rsidRDefault="00D07BA2" w:rsidP="00D07BA2">
            <w:pPr>
              <w:jc w:val="center"/>
              <w:rPr>
                <w:rFonts w:cs="Arial"/>
                <w:color w:val="ED7D31" w:themeColor="accent2"/>
              </w:rPr>
            </w:pPr>
            <w:r w:rsidRPr="00D07BA2">
              <w:rPr>
                <w:color w:val="BF8F00" w:themeColor="accent4" w:themeShade="BF"/>
              </w:rPr>
              <w:t>Significaciones múltiples (polisemia)</w:t>
            </w:r>
          </w:p>
        </w:tc>
        <w:tc>
          <w:tcPr>
            <w:tcW w:w="873" w:type="pct"/>
          </w:tcPr>
          <w:p w:rsidR="00D07BA2" w:rsidRPr="00D07BA2" w:rsidRDefault="00D07BA2" w:rsidP="00D07BA2">
            <w:pPr>
              <w:autoSpaceDE w:val="0"/>
              <w:autoSpaceDN w:val="0"/>
              <w:adjustRightInd w:val="0"/>
              <w:jc w:val="center"/>
              <w:rPr>
                <w:color w:val="000000" w:themeColor="text1"/>
              </w:rPr>
            </w:pPr>
            <w:r w:rsidRPr="00D07BA2">
              <w:rPr>
                <w:color w:val="000000" w:themeColor="text1"/>
              </w:rPr>
              <w:t>Anota correctamente significaciones semejantes (sinonimia).</w:t>
            </w:r>
          </w:p>
          <w:p w:rsidR="00D07BA2" w:rsidRPr="00D07BA2" w:rsidRDefault="00D07BA2" w:rsidP="00D07BA2">
            <w:pPr>
              <w:autoSpaceDE w:val="0"/>
              <w:autoSpaceDN w:val="0"/>
              <w:adjustRightInd w:val="0"/>
              <w:jc w:val="center"/>
              <w:rPr>
                <w:color w:val="000000" w:themeColor="text1"/>
              </w:rPr>
            </w:pPr>
            <w:r w:rsidRPr="00D07BA2">
              <w:rPr>
                <w:color w:val="000000" w:themeColor="text1"/>
              </w:rPr>
              <w:t xml:space="preserve"> Significaciones diferentes (antonimia).</w:t>
            </w:r>
          </w:p>
          <w:p w:rsidR="00D07BA2" w:rsidRPr="00D07BA2" w:rsidRDefault="00D07BA2" w:rsidP="00D07BA2">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lastRenderedPageBreak/>
              <w:t>Significaciones múltiples (polisemia).</w:t>
            </w:r>
          </w:p>
        </w:tc>
        <w:tc>
          <w:tcPr>
            <w:tcW w:w="831" w:type="pct"/>
            <w:vAlign w:val="center"/>
          </w:tcPr>
          <w:p w:rsidR="00D07BA2" w:rsidRPr="00D07BA2" w:rsidRDefault="00D07BA2" w:rsidP="00D07BA2">
            <w:pPr>
              <w:jc w:val="center"/>
              <w:rPr>
                <w:color w:val="000000" w:themeColor="text1"/>
              </w:rPr>
            </w:pPr>
            <w:r w:rsidRPr="00D07BA2">
              <w:rPr>
                <w:color w:val="000000" w:themeColor="text1"/>
              </w:rPr>
              <w:lastRenderedPageBreak/>
              <w:t xml:space="preserve">Distingue el significado de sinónimos, antónimos parónimos y homónimos en </w:t>
            </w:r>
            <w:r w:rsidRPr="00D07BA2">
              <w:rPr>
                <w:color w:val="000000" w:themeColor="text1"/>
              </w:rPr>
              <w:lastRenderedPageBreak/>
              <w:t>contextos de comunicación.</w:t>
            </w:r>
          </w:p>
        </w:tc>
        <w:tc>
          <w:tcPr>
            <w:tcW w:w="950" w:type="pct"/>
            <w:vAlign w:val="center"/>
          </w:tcPr>
          <w:p w:rsidR="00D07BA2" w:rsidRPr="00D07BA2" w:rsidRDefault="00D07BA2" w:rsidP="00D07BA2">
            <w:pPr>
              <w:jc w:val="center"/>
              <w:rPr>
                <w:color w:val="000000" w:themeColor="text1"/>
              </w:rPr>
            </w:pPr>
            <w:r w:rsidRPr="00D07BA2">
              <w:rPr>
                <w:color w:val="000000" w:themeColor="text1"/>
              </w:rPr>
              <w:lastRenderedPageBreak/>
              <w:t>Emplea sinónimos, antónimos parónimos y homónimos en contextos de comunicación oral y escritos.</w:t>
            </w:r>
          </w:p>
        </w:tc>
      </w:tr>
      <w:tr w:rsidR="00D07BA2" w:rsidRPr="00D07BA2" w:rsidTr="00D07BA2">
        <w:trPr>
          <w:trHeight w:val="857"/>
        </w:trPr>
        <w:tc>
          <w:tcPr>
            <w:tcW w:w="1173" w:type="pct"/>
          </w:tcPr>
          <w:p w:rsidR="00D07BA2" w:rsidRPr="00D07BA2" w:rsidRDefault="00D07BA2" w:rsidP="00686300">
            <w:pPr>
              <w:pStyle w:val="Sinespaciado"/>
              <w:jc w:val="center"/>
              <w:rPr>
                <w:rFonts w:asciiTheme="minorHAnsi" w:hAnsiTheme="minorHAnsi" w:cs="Arial"/>
                <w:b/>
                <w:color w:val="C45911" w:themeColor="accent2" w:themeShade="BF"/>
                <w:sz w:val="22"/>
                <w:szCs w:val="22"/>
              </w:rPr>
            </w:pPr>
            <w:r w:rsidRPr="00D07BA2">
              <w:rPr>
                <w:rFonts w:asciiTheme="minorHAnsi" w:hAnsiTheme="minorHAnsi" w:cs="Arial"/>
                <w:b/>
                <w:color w:val="C45911" w:themeColor="accent2" w:themeShade="BF"/>
                <w:sz w:val="22"/>
                <w:szCs w:val="22"/>
              </w:rPr>
              <w:t xml:space="preserve">Comprensión </w:t>
            </w:r>
          </w:p>
        </w:tc>
        <w:tc>
          <w:tcPr>
            <w:tcW w:w="1173" w:type="pct"/>
          </w:tcPr>
          <w:p w:rsidR="00D07BA2" w:rsidRPr="00D07BA2" w:rsidRDefault="00D07BA2" w:rsidP="00686300">
            <w:pPr>
              <w:pStyle w:val="Sinespaciado"/>
              <w:jc w:val="center"/>
              <w:rPr>
                <w:rFonts w:asciiTheme="minorHAnsi" w:hAnsiTheme="minorHAnsi" w:cs="Arial"/>
                <w:color w:val="C45911" w:themeColor="accent2" w:themeShade="BF"/>
                <w:sz w:val="22"/>
                <w:szCs w:val="22"/>
              </w:rPr>
            </w:pPr>
            <w:r w:rsidRPr="00D07BA2">
              <w:rPr>
                <w:rFonts w:asciiTheme="minorHAnsi" w:hAnsiTheme="minorHAnsi" w:cs="Arial"/>
                <w:color w:val="C45911" w:themeColor="accent2" w:themeShade="BF"/>
                <w:sz w:val="22"/>
                <w:szCs w:val="22"/>
              </w:rPr>
              <w:t xml:space="preserve"> Utiliza en forma oral y escrita sinónimos, parónimo</w:t>
            </w:r>
            <w:r w:rsidR="00AC6C34">
              <w:rPr>
                <w:rFonts w:asciiTheme="minorHAnsi" w:hAnsiTheme="minorHAnsi" w:cs="Arial"/>
                <w:color w:val="C45911" w:themeColor="accent2" w:themeShade="BF"/>
                <w:sz w:val="22"/>
                <w:szCs w:val="22"/>
              </w:rPr>
              <w:t>s</w:t>
            </w:r>
            <w:r w:rsidRPr="00D07BA2">
              <w:rPr>
                <w:rFonts w:asciiTheme="minorHAnsi" w:hAnsiTheme="minorHAnsi" w:cs="Arial"/>
                <w:color w:val="C45911" w:themeColor="accent2" w:themeShade="BF"/>
                <w:sz w:val="22"/>
                <w:szCs w:val="22"/>
              </w:rPr>
              <w:t xml:space="preserve"> y homónimos.</w:t>
            </w:r>
          </w:p>
        </w:tc>
        <w:tc>
          <w:tcPr>
            <w:tcW w:w="873" w:type="pct"/>
          </w:tcPr>
          <w:p w:rsidR="00D07BA2" w:rsidRPr="00D07BA2" w:rsidRDefault="00D07BA2" w:rsidP="00686300">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t>Indica sinónimos, parónimo</w:t>
            </w:r>
            <w:r w:rsidR="00AC6C34">
              <w:rPr>
                <w:rFonts w:asciiTheme="minorHAnsi" w:eastAsiaTheme="minorHAnsi" w:hAnsiTheme="minorHAnsi" w:cstheme="minorBidi"/>
                <w:color w:val="000000" w:themeColor="text1"/>
                <w:sz w:val="22"/>
                <w:szCs w:val="22"/>
                <w:lang w:eastAsia="en-US"/>
              </w:rPr>
              <w:t>s</w:t>
            </w:r>
            <w:r w:rsidRPr="00D07BA2">
              <w:rPr>
                <w:rFonts w:asciiTheme="minorHAnsi" w:eastAsiaTheme="minorHAnsi" w:hAnsiTheme="minorHAnsi" w:cstheme="minorBidi"/>
                <w:color w:val="000000" w:themeColor="text1"/>
                <w:sz w:val="22"/>
                <w:szCs w:val="22"/>
                <w:lang w:eastAsia="en-US"/>
              </w:rPr>
              <w:t xml:space="preserve"> y homónimos.</w:t>
            </w:r>
          </w:p>
        </w:tc>
        <w:tc>
          <w:tcPr>
            <w:tcW w:w="831" w:type="pct"/>
            <w:vAlign w:val="center"/>
          </w:tcPr>
          <w:p w:rsidR="00D07BA2" w:rsidRPr="00D07BA2" w:rsidRDefault="00D07BA2" w:rsidP="00686300">
            <w:pPr>
              <w:pStyle w:val="Sinespaciado"/>
              <w:jc w:val="center"/>
              <w:rPr>
                <w:rFonts w:asciiTheme="minorHAnsi" w:hAnsiTheme="minorHAnsi"/>
                <w:color w:val="000000" w:themeColor="text1"/>
                <w:sz w:val="22"/>
                <w:szCs w:val="22"/>
              </w:rPr>
            </w:pPr>
            <w:r w:rsidRPr="00D07BA2">
              <w:rPr>
                <w:rFonts w:asciiTheme="minorHAnsi" w:eastAsiaTheme="minorHAnsi" w:hAnsiTheme="minorHAnsi" w:cstheme="minorBidi"/>
                <w:color w:val="000000" w:themeColor="text1"/>
                <w:sz w:val="22"/>
                <w:szCs w:val="22"/>
                <w:lang w:eastAsia="en-US"/>
              </w:rPr>
              <w:t>Relata palabras con sinónimos, parónimo y homónimos.</w:t>
            </w:r>
          </w:p>
        </w:tc>
        <w:tc>
          <w:tcPr>
            <w:tcW w:w="950" w:type="pct"/>
            <w:vAlign w:val="center"/>
          </w:tcPr>
          <w:p w:rsidR="00D07BA2" w:rsidRPr="00D07BA2" w:rsidRDefault="00D07BA2" w:rsidP="00686300">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t>Emplea palabras con sinónimos, parónimo</w:t>
            </w:r>
            <w:r w:rsidR="00AC6C34">
              <w:rPr>
                <w:rFonts w:asciiTheme="minorHAnsi" w:eastAsiaTheme="minorHAnsi" w:hAnsiTheme="minorHAnsi" w:cstheme="minorBidi"/>
                <w:color w:val="000000" w:themeColor="text1"/>
                <w:sz w:val="22"/>
                <w:szCs w:val="22"/>
                <w:lang w:eastAsia="en-US"/>
              </w:rPr>
              <w:t>s</w:t>
            </w:r>
            <w:r w:rsidRPr="00D07BA2">
              <w:rPr>
                <w:rFonts w:asciiTheme="minorHAnsi" w:eastAsiaTheme="minorHAnsi" w:hAnsiTheme="minorHAnsi" w:cstheme="minorBidi"/>
                <w:color w:val="000000" w:themeColor="text1"/>
                <w:sz w:val="22"/>
                <w:szCs w:val="22"/>
                <w:lang w:eastAsia="en-US"/>
              </w:rPr>
              <w:t xml:space="preserve"> y homónimos.</w:t>
            </w:r>
          </w:p>
          <w:p w:rsidR="00D07BA2" w:rsidRPr="00D07BA2" w:rsidRDefault="00D07BA2" w:rsidP="00686300">
            <w:pPr>
              <w:jc w:val="center"/>
              <w:rPr>
                <w:color w:val="000000" w:themeColor="text1"/>
              </w:rPr>
            </w:pPr>
          </w:p>
        </w:tc>
      </w:tr>
      <w:tr w:rsidR="00D07BA2" w:rsidRPr="00D07BA2" w:rsidTr="00D07BA2">
        <w:trPr>
          <w:trHeight w:val="857"/>
        </w:trPr>
        <w:tc>
          <w:tcPr>
            <w:tcW w:w="1173" w:type="pct"/>
          </w:tcPr>
          <w:p w:rsidR="00D07BA2" w:rsidRPr="00D07BA2" w:rsidRDefault="00D07BA2" w:rsidP="00D07BA2">
            <w:pPr>
              <w:pStyle w:val="Sinespaciado"/>
              <w:jc w:val="center"/>
              <w:rPr>
                <w:rFonts w:asciiTheme="minorHAnsi" w:hAnsiTheme="minorHAnsi" w:cs="Arial"/>
                <w:b/>
                <w:color w:val="C45911" w:themeColor="accent2" w:themeShade="BF"/>
                <w:sz w:val="22"/>
                <w:szCs w:val="22"/>
              </w:rPr>
            </w:pPr>
            <w:r w:rsidRPr="00D07BA2">
              <w:rPr>
                <w:rFonts w:asciiTheme="minorHAnsi" w:hAnsiTheme="minorHAnsi" w:cs="Arial"/>
                <w:b/>
                <w:color w:val="C45911" w:themeColor="accent2" w:themeShade="BF"/>
                <w:sz w:val="22"/>
                <w:szCs w:val="22"/>
              </w:rPr>
              <w:t>Trasmisión efectiva</w:t>
            </w:r>
          </w:p>
          <w:p w:rsidR="00D07BA2" w:rsidRPr="00D07BA2" w:rsidRDefault="00D07BA2" w:rsidP="00686300">
            <w:pPr>
              <w:pStyle w:val="Sinespaciado"/>
              <w:jc w:val="center"/>
              <w:rPr>
                <w:rFonts w:asciiTheme="minorHAnsi" w:hAnsiTheme="minorHAnsi" w:cs="Arial"/>
                <w:color w:val="C45911" w:themeColor="accent2" w:themeShade="BF"/>
                <w:sz w:val="22"/>
                <w:szCs w:val="22"/>
              </w:rPr>
            </w:pPr>
          </w:p>
        </w:tc>
        <w:tc>
          <w:tcPr>
            <w:tcW w:w="1173" w:type="pct"/>
          </w:tcPr>
          <w:p w:rsidR="00D07BA2" w:rsidRPr="00D07BA2" w:rsidRDefault="00D07BA2" w:rsidP="00686300">
            <w:pPr>
              <w:pStyle w:val="Sinespaciado"/>
              <w:jc w:val="center"/>
              <w:rPr>
                <w:rFonts w:asciiTheme="minorHAnsi" w:hAnsiTheme="minorHAnsi" w:cs="Arial"/>
                <w:color w:val="C45911" w:themeColor="accent2" w:themeShade="BF"/>
                <w:sz w:val="22"/>
                <w:szCs w:val="22"/>
              </w:rPr>
            </w:pPr>
            <w:r w:rsidRPr="00D07BA2">
              <w:rPr>
                <w:rFonts w:asciiTheme="minorHAnsi" w:hAnsiTheme="minorHAnsi" w:cs="Arial"/>
                <w:color w:val="C45911" w:themeColor="accent2" w:themeShade="BF"/>
                <w:sz w:val="22"/>
                <w:szCs w:val="22"/>
              </w:rPr>
              <w:t>Utiliza nueva información (familias léxicas) para enriquecer las producciones orales, escritas plástica y otras, que desea realizar.</w:t>
            </w:r>
          </w:p>
          <w:p w:rsidR="00D07BA2" w:rsidRPr="00D07BA2" w:rsidRDefault="00D07BA2" w:rsidP="00686300">
            <w:pPr>
              <w:pStyle w:val="Sinespaciado"/>
              <w:jc w:val="center"/>
              <w:rPr>
                <w:rFonts w:asciiTheme="minorHAnsi" w:hAnsiTheme="minorHAnsi" w:cs="Arial"/>
                <w:color w:val="C45911" w:themeColor="accent2" w:themeShade="BF"/>
                <w:sz w:val="22"/>
                <w:szCs w:val="22"/>
              </w:rPr>
            </w:pPr>
          </w:p>
        </w:tc>
        <w:tc>
          <w:tcPr>
            <w:tcW w:w="873" w:type="pct"/>
          </w:tcPr>
          <w:p w:rsidR="00D07BA2" w:rsidRPr="00D07BA2" w:rsidRDefault="00D07BA2" w:rsidP="00295B15">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t>Indica nueva información para enriquecer las producciones orales, escritas plástica y otras, que realiza.</w:t>
            </w:r>
          </w:p>
        </w:tc>
        <w:tc>
          <w:tcPr>
            <w:tcW w:w="831" w:type="pct"/>
            <w:vAlign w:val="center"/>
          </w:tcPr>
          <w:p w:rsidR="00D07BA2" w:rsidRPr="00D07BA2" w:rsidRDefault="00D07BA2" w:rsidP="00295B15">
            <w:pPr>
              <w:pStyle w:val="Sinespaciado"/>
              <w:jc w:val="center"/>
              <w:rPr>
                <w:rFonts w:asciiTheme="minorHAnsi" w:eastAsiaTheme="minorHAnsi" w:hAnsiTheme="minorHAnsi" w:cstheme="minorBidi"/>
                <w:color w:val="000000" w:themeColor="text1"/>
                <w:sz w:val="22"/>
                <w:szCs w:val="22"/>
                <w:lang w:eastAsia="en-US"/>
              </w:rPr>
            </w:pPr>
            <w:r w:rsidRPr="00D07BA2">
              <w:rPr>
                <w:rFonts w:asciiTheme="minorHAnsi" w:eastAsiaTheme="minorHAnsi" w:hAnsiTheme="minorHAnsi" w:cstheme="minorBidi"/>
                <w:color w:val="000000" w:themeColor="text1"/>
                <w:sz w:val="22"/>
                <w:szCs w:val="22"/>
                <w:lang w:eastAsia="en-US"/>
              </w:rPr>
              <w:t>Relata textos con nueva información (familias léxicas)  para enriquecer las producciones orales, escritas plástica y otras.</w:t>
            </w:r>
          </w:p>
        </w:tc>
        <w:tc>
          <w:tcPr>
            <w:tcW w:w="950" w:type="pct"/>
            <w:vAlign w:val="center"/>
          </w:tcPr>
          <w:p w:rsidR="00D07BA2" w:rsidRPr="00D07BA2" w:rsidRDefault="00D07BA2" w:rsidP="00295B15">
            <w:pPr>
              <w:jc w:val="center"/>
              <w:rPr>
                <w:color w:val="000000" w:themeColor="text1"/>
              </w:rPr>
            </w:pPr>
            <w:r w:rsidRPr="00D07BA2">
              <w:rPr>
                <w:color w:val="000000" w:themeColor="text1"/>
              </w:rPr>
              <w:t>Emplea familias léxicas para enriquecer las producciones orales, escritas plástica y otras, que construye.</w:t>
            </w:r>
          </w:p>
        </w:tc>
      </w:tr>
    </w:tbl>
    <w:p w:rsidR="00FC3DF4" w:rsidRDefault="00FC3DF4"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FC3DF4">
      <w:pPr>
        <w:spacing w:after="0"/>
        <w:jc w:val="both"/>
        <w:rPr>
          <w:b/>
        </w:rPr>
      </w:pPr>
    </w:p>
    <w:p w:rsidR="000B0D97" w:rsidRDefault="000B0D97" w:rsidP="000B0D97">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0B0D97" w:rsidRDefault="000B0D97" w:rsidP="000B0D97">
      <w:pPr>
        <w:pStyle w:val="Sinespaciado"/>
        <w:rPr>
          <w:rFonts w:ascii="Cambria" w:eastAsia="Calibri" w:hAnsi="Cambria" w:cs="Arial"/>
          <w:b/>
          <w:lang w:eastAsia="en-US"/>
        </w:rPr>
      </w:pPr>
    </w:p>
    <w:p w:rsidR="000B0D97" w:rsidRDefault="000B0D97" w:rsidP="000B0D97">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0B0D97" w:rsidRDefault="000B0D97" w:rsidP="000B0D97">
      <w:pPr>
        <w:pStyle w:val="Sinespaciado"/>
        <w:rPr>
          <w:rFonts w:ascii="Cambria" w:eastAsia="Calibri" w:hAnsi="Cambria" w:cs="Arial"/>
          <w:b/>
          <w:lang w:eastAsia="en-US"/>
        </w:rPr>
      </w:pPr>
    </w:p>
    <w:p w:rsidR="000B0D97" w:rsidRDefault="000B0D97" w:rsidP="000B0D97">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0B0D97" w:rsidRDefault="000B0D97" w:rsidP="000B0D97">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0B0D97" w:rsidRDefault="000B0D97" w:rsidP="000B0D97">
      <w:pPr>
        <w:pStyle w:val="Sinespaciado"/>
        <w:rPr>
          <w:rFonts w:ascii="Cambria" w:eastAsia="Calibri" w:hAnsi="Cambria" w:cs="Arial"/>
          <w:b/>
          <w:lang w:eastAsia="en-US"/>
        </w:rPr>
      </w:pPr>
    </w:p>
    <w:p w:rsidR="000B0D97" w:rsidRDefault="000B0D97" w:rsidP="000B0D97">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0B0D97" w:rsidRDefault="000B0D97" w:rsidP="000B0D97">
      <w:pPr>
        <w:pStyle w:val="Sinespaciado"/>
        <w:rPr>
          <w:rFonts w:ascii="Cambria" w:eastAsia="Calibri" w:hAnsi="Cambria" w:cs="Arial"/>
          <w:b/>
          <w:lang w:eastAsia="en-US"/>
        </w:rPr>
      </w:pPr>
    </w:p>
    <w:p w:rsidR="000B0D97" w:rsidRDefault="000B0D97" w:rsidP="000B0D97">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0B0D97" w:rsidRDefault="000B0D97" w:rsidP="000B0D97">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0B0D97" w:rsidRDefault="000B0D97" w:rsidP="000B0D97">
      <w:pPr>
        <w:pStyle w:val="Sinespaciado"/>
        <w:rPr>
          <w:rFonts w:ascii="Cambria" w:eastAsia="Calibri" w:hAnsi="Cambria" w:cs="Arial"/>
          <w:lang w:eastAsia="en-US"/>
        </w:rPr>
      </w:pPr>
    </w:p>
    <w:p w:rsidR="000B0D97" w:rsidRDefault="000B0D97" w:rsidP="000B0D97">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0B0D97" w:rsidRDefault="000B0D97" w:rsidP="000B0D97">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r w:rsidR="00A277BE">
        <w:rPr>
          <w:rFonts w:ascii="Cambria" w:eastAsia="Calibri" w:hAnsi="Cambria" w:cs="Arial"/>
          <w:lang w:eastAsia="en-US"/>
        </w:rPr>
        <w:t>.</w:t>
      </w:r>
    </w:p>
    <w:p w:rsidR="000B0D97" w:rsidRDefault="000B0D97" w:rsidP="000B0D97">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0B0D97" w:rsidRDefault="000B0D97" w:rsidP="000B0D97">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0B0D97" w:rsidRDefault="000B0D97" w:rsidP="000B0D97">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r w:rsidR="00A277BE">
        <w:rPr>
          <w:rFonts w:ascii="Cambria" w:eastAsia="Calibri" w:hAnsi="Cambria" w:cs="Arial"/>
          <w:lang w:eastAsia="en-US"/>
        </w:rPr>
        <w:t>.</w:t>
      </w:r>
      <w:bookmarkStart w:id="0" w:name="_GoBack"/>
      <w:bookmarkEnd w:id="0"/>
    </w:p>
    <w:p w:rsidR="000B0D97" w:rsidRDefault="000B0D97" w:rsidP="000B0D97">
      <w:pPr>
        <w:pStyle w:val="Sinespaciado"/>
        <w:jc w:val="both"/>
        <w:rPr>
          <w:rFonts w:ascii="Cambria" w:eastAsia="Calibri" w:hAnsi="Cambria" w:cs="Arial"/>
          <w:b/>
          <w:lang w:eastAsia="en-US"/>
        </w:rPr>
      </w:pPr>
    </w:p>
    <w:p w:rsidR="000B0D97" w:rsidRDefault="000B0D97" w:rsidP="000B0D97">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0B0D97" w:rsidRDefault="000B0D97" w:rsidP="000B0D97">
      <w:pPr>
        <w:pStyle w:val="Sinespaciado"/>
        <w:jc w:val="both"/>
        <w:rPr>
          <w:rFonts w:ascii="Cambria" w:eastAsia="Calibri" w:hAnsi="Cambria" w:cs="Arial"/>
          <w:lang w:eastAsia="en-US"/>
        </w:rPr>
      </w:pPr>
      <w:r>
        <w:rPr>
          <w:rFonts w:ascii="Cambria" w:eastAsia="Calibri" w:hAnsi="Cambria" w:cs="Arial"/>
          <w:lang w:eastAsia="en-US"/>
        </w:rPr>
        <w:t>A la</w:t>
      </w:r>
      <w:r w:rsidR="002120A1">
        <w:rPr>
          <w:rFonts w:ascii="Cambria" w:eastAsia="Calibri" w:hAnsi="Cambria" w:cs="Arial"/>
          <w:lang w:eastAsia="en-US"/>
        </w:rPr>
        <w:t xml:space="preserve"> colaboración brindada por las asesorías r</w:t>
      </w:r>
      <w:r>
        <w:rPr>
          <w:rFonts w:ascii="Cambria" w:eastAsia="Calibri" w:hAnsi="Cambria" w:cs="Arial"/>
          <w:lang w:eastAsia="en-US"/>
        </w:rPr>
        <w:t>egion</w:t>
      </w:r>
      <w:r w:rsidR="002120A1">
        <w:rPr>
          <w:rFonts w:ascii="Cambria" w:eastAsia="Calibri" w:hAnsi="Cambria" w:cs="Arial"/>
          <w:lang w:eastAsia="en-US"/>
        </w:rPr>
        <w:t>ales y personal docente de las direcciones regionales de e</w:t>
      </w:r>
      <w:r>
        <w:rPr>
          <w:rFonts w:ascii="Cambria" w:eastAsia="Calibri" w:hAnsi="Cambria" w:cs="Arial"/>
          <w:lang w:eastAsia="en-US"/>
        </w:rPr>
        <w:t>ducación de diferentes zonas del país, para la lectura y revisión del presente documento.</w:t>
      </w:r>
    </w:p>
    <w:p w:rsidR="000B0D97" w:rsidRDefault="000B0D97" w:rsidP="000B0D97">
      <w:pPr>
        <w:rPr>
          <w:rFonts w:ascii="Calibri" w:eastAsia="Calibri" w:hAnsi="Calibri" w:cs="Times New Roman"/>
        </w:rPr>
      </w:pPr>
      <w:r>
        <w:t xml:space="preserve"> </w:t>
      </w:r>
    </w:p>
    <w:p w:rsidR="000B0D97" w:rsidRDefault="000B0D97" w:rsidP="000B0D97">
      <w:pPr>
        <w:rPr>
          <w:b/>
        </w:rPr>
      </w:pPr>
      <w:r>
        <w:rPr>
          <w:b/>
        </w:rPr>
        <w:t>Docentes:</w:t>
      </w:r>
    </w:p>
    <w:p w:rsidR="000B0D97" w:rsidRDefault="000B0D97" w:rsidP="000B0D97">
      <w:pPr>
        <w:spacing w:after="0" w:line="240" w:lineRule="auto"/>
      </w:pPr>
      <w:r>
        <w:rPr>
          <w:b/>
        </w:rPr>
        <w:t>Licda.</w:t>
      </w:r>
      <w:r>
        <w:t xml:space="preserve"> Cinthia Ureña Castro. Escuela Camilo Gamboa Varga. </w:t>
      </w:r>
    </w:p>
    <w:p w:rsidR="000B0D97" w:rsidRDefault="000B0D97" w:rsidP="000B0D97">
      <w:pPr>
        <w:spacing w:after="0" w:line="240" w:lineRule="auto"/>
      </w:pPr>
      <w:r>
        <w:rPr>
          <w:b/>
        </w:rPr>
        <w:t>Licda.</w:t>
      </w:r>
      <w:r>
        <w:t xml:space="preserve"> Dayra Blanco Vindas. Escuela León Cortés Castro.</w:t>
      </w:r>
    </w:p>
    <w:p w:rsidR="000B0D97" w:rsidRDefault="000B0D97" w:rsidP="000B0D97">
      <w:pPr>
        <w:spacing w:after="0" w:line="240" w:lineRule="auto"/>
      </w:pPr>
      <w:r>
        <w:rPr>
          <w:b/>
        </w:rPr>
        <w:t>M. Sc.</w:t>
      </w:r>
      <w:r>
        <w:t xml:space="preserve"> Helga Cruz Banco. Escuela León Cortés Castro.</w:t>
      </w:r>
    </w:p>
    <w:p w:rsidR="000B0D97" w:rsidRDefault="000B0D97" w:rsidP="000B0D97">
      <w:pPr>
        <w:spacing w:after="0" w:line="240" w:lineRule="auto"/>
      </w:pPr>
      <w:r>
        <w:rPr>
          <w:b/>
        </w:rPr>
        <w:t>Licda.</w:t>
      </w:r>
      <w:r>
        <w:t xml:space="preserve">  Leticia Mora Valverde. Escuelas San Isidro.</w:t>
      </w:r>
    </w:p>
    <w:p w:rsidR="000B0D97" w:rsidRDefault="000B0D97" w:rsidP="000B0D97">
      <w:pPr>
        <w:spacing w:after="0" w:line="240" w:lineRule="auto"/>
      </w:pPr>
      <w:r>
        <w:rPr>
          <w:b/>
        </w:rPr>
        <w:t>Licda.</w:t>
      </w:r>
      <w:r>
        <w:t xml:space="preserve"> Magaly Gamboa Cordero. Escuela León Cortés Castro.</w:t>
      </w:r>
    </w:p>
    <w:p w:rsidR="000B0D97" w:rsidRDefault="000B0D97" w:rsidP="000B0D97">
      <w:pPr>
        <w:spacing w:after="0" w:line="240" w:lineRule="auto"/>
      </w:pPr>
      <w:r>
        <w:rPr>
          <w:b/>
        </w:rPr>
        <w:t>Licda</w:t>
      </w:r>
      <w:r>
        <w:t>. María Isabel Jiménez Navarro. Escuela Carrizal.</w:t>
      </w:r>
    </w:p>
    <w:p w:rsidR="000B0D97" w:rsidRDefault="000B0D97" w:rsidP="000B0D97">
      <w:pPr>
        <w:spacing w:after="0" w:line="240" w:lineRule="auto"/>
      </w:pPr>
      <w:r>
        <w:rPr>
          <w:b/>
        </w:rPr>
        <w:t>Licda.</w:t>
      </w:r>
      <w:r>
        <w:t xml:space="preserve"> Sandra Porras Villalobos. Escuela San Isidro.</w:t>
      </w:r>
    </w:p>
    <w:p w:rsidR="000B0D97" w:rsidRPr="00D07BA2" w:rsidRDefault="000B0D97" w:rsidP="00FC3DF4">
      <w:pPr>
        <w:spacing w:after="0"/>
        <w:jc w:val="both"/>
        <w:rPr>
          <w:b/>
        </w:rPr>
      </w:pPr>
    </w:p>
    <w:sectPr w:rsidR="000B0D97" w:rsidRPr="00D07BA2"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6A6" w:rsidRDefault="000336A6" w:rsidP="00140D69">
      <w:pPr>
        <w:spacing w:after="0" w:line="240" w:lineRule="auto"/>
      </w:pPr>
      <w:r>
        <w:separator/>
      </w:r>
    </w:p>
  </w:endnote>
  <w:endnote w:type="continuationSeparator" w:id="0">
    <w:p w:rsidR="000336A6" w:rsidRDefault="000336A6"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5F" w:rsidRDefault="001C625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5F" w:rsidRDefault="001C625F" w:rsidP="001C625F">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1C625F" w:rsidRDefault="001C625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5F" w:rsidRDefault="001C62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6A6" w:rsidRDefault="000336A6" w:rsidP="00140D69">
      <w:pPr>
        <w:spacing w:after="0" w:line="240" w:lineRule="auto"/>
      </w:pPr>
      <w:r>
        <w:separator/>
      </w:r>
    </w:p>
  </w:footnote>
  <w:footnote w:type="continuationSeparator" w:id="0">
    <w:p w:rsidR="000336A6" w:rsidRDefault="000336A6"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5F" w:rsidRDefault="001C625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5F" w:rsidRDefault="001C625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5F" w:rsidRDefault="001C625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C2A66C0"/>
    <w:multiLevelType w:val="multilevel"/>
    <w:tmpl w:val="5876FCB4"/>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50656FDB"/>
    <w:multiLevelType w:val="hybridMultilevel"/>
    <w:tmpl w:val="D63AFE6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5"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3"/>
  </w:num>
  <w:num w:numId="3">
    <w:abstractNumId w:val="2"/>
  </w:num>
  <w:num w:numId="4">
    <w:abstractNumId w:val="7"/>
  </w:num>
  <w:num w:numId="5">
    <w:abstractNumId w:val="5"/>
  </w:num>
  <w:num w:numId="6">
    <w:abstractNumId w:val="1"/>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11353"/>
    <w:rsid w:val="0001263B"/>
    <w:rsid w:val="000162B6"/>
    <w:rsid w:val="00027B73"/>
    <w:rsid w:val="00032F88"/>
    <w:rsid w:val="000336A6"/>
    <w:rsid w:val="00035615"/>
    <w:rsid w:val="00045FD7"/>
    <w:rsid w:val="00051683"/>
    <w:rsid w:val="00054F52"/>
    <w:rsid w:val="000555EF"/>
    <w:rsid w:val="0006020E"/>
    <w:rsid w:val="0007468F"/>
    <w:rsid w:val="000805A7"/>
    <w:rsid w:val="00092CC3"/>
    <w:rsid w:val="000949B9"/>
    <w:rsid w:val="00095E51"/>
    <w:rsid w:val="000A1C7A"/>
    <w:rsid w:val="000A6BAC"/>
    <w:rsid w:val="000B0D97"/>
    <w:rsid w:val="000C24A6"/>
    <w:rsid w:val="000C7F95"/>
    <w:rsid w:val="000D1103"/>
    <w:rsid w:val="000D290A"/>
    <w:rsid w:val="000E6F4D"/>
    <w:rsid w:val="000F6A3F"/>
    <w:rsid w:val="00103BB2"/>
    <w:rsid w:val="0010655E"/>
    <w:rsid w:val="0012070A"/>
    <w:rsid w:val="00125F91"/>
    <w:rsid w:val="00130B1D"/>
    <w:rsid w:val="00134D54"/>
    <w:rsid w:val="00135AC3"/>
    <w:rsid w:val="001405A9"/>
    <w:rsid w:val="00140D69"/>
    <w:rsid w:val="00141802"/>
    <w:rsid w:val="0015117D"/>
    <w:rsid w:val="00153531"/>
    <w:rsid w:val="001644B8"/>
    <w:rsid w:val="00166D1D"/>
    <w:rsid w:val="00170268"/>
    <w:rsid w:val="001868A2"/>
    <w:rsid w:val="00193A67"/>
    <w:rsid w:val="00196279"/>
    <w:rsid w:val="001A58CE"/>
    <w:rsid w:val="001B045D"/>
    <w:rsid w:val="001B7469"/>
    <w:rsid w:val="001C3E2E"/>
    <w:rsid w:val="001C532E"/>
    <w:rsid w:val="001C625F"/>
    <w:rsid w:val="001D6384"/>
    <w:rsid w:val="001E015E"/>
    <w:rsid w:val="001E5FD6"/>
    <w:rsid w:val="001F2460"/>
    <w:rsid w:val="00206BDB"/>
    <w:rsid w:val="00207C4A"/>
    <w:rsid w:val="002120A1"/>
    <w:rsid w:val="00217429"/>
    <w:rsid w:val="0021745C"/>
    <w:rsid w:val="0022517A"/>
    <w:rsid w:val="00225536"/>
    <w:rsid w:val="002303F1"/>
    <w:rsid w:val="00232BA4"/>
    <w:rsid w:val="00236016"/>
    <w:rsid w:val="00236A34"/>
    <w:rsid w:val="00240A41"/>
    <w:rsid w:val="00242B86"/>
    <w:rsid w:val="002446CA"/>
    <w:rsid w:val="00247FCA"/>
    <w:rsid w:val="00251A94"/>
    <w:rsid w:val="00262678"/>
    <w:rsid w:val="00273E23"/>
    <w:rsid w:val="00275FFD"/>
    <w:rsid w:val="00276758"/>
    <w:rsid w:val="00293042"/>
    <w:rsid w:val="00295B15"/>
    <w:rsid w:val="002B0D21"/>
    <w:rsid w:val="002B0E27"/>
    <w:rsid w:val="002C0557"/>
    <w:rsid w:val="002C5FEA"/>
    <w:rsid w:val="002D6BFD"/>
    <w:rsid w:val="002E0CE6"/>
    <w:rsid w:val="002E69E6"/>
    <w:rsid w:val="002E7FC6"/>
    <w:rsid w:val="002F290D"/>
    <w:rsid w:val="002F7221"/>
    <w:rsid w:val="00312B70"/>
    <w:rsid w:val="003172CB"/>
    <w:rsid w:val="0032004C"/>
    <w:rsid w:val="0032150E"/>
    <w:rsid w:val="00326213"/>
    <w:rsid w:val="00330C8D"/>
    <w:rsid w:val="00331C22"/>
    <w:rsid w:val="0033297A"/>
    <w:rsid w:val="00351BE7"/>
    <w:rsid w:val="003631CE"/>
    <w:rsid w:val="00366809"/>
    <w:rsid w:val="00366BBE"/>
    <w:rsid w:val="00374ABB"/>
    <w:rsid w:val="00374C47"/>
    <w:rsid w:val="00383DCC"/>
    <w:rsid w:val="003A0FBA"/>
    <w:rsid w:val="003A268A"/>
    <w:rsid w:val="003B0935"/>
    <w:rsid w:val="003B5399"/>
    <w:rsid w:val="003B57AF"/>
    <w:rsid w:val="003D3BE0"/>
    <w:rsid w:val="003E5F3B"/>
    <w:rsid w:val="003E6F73"/>
    <w:rsid w:val="003E741A"/>
    <w:rsid w:val="003E7F77"/>
    <w:rsid w:val="003F64C0"/>
    <w:rsid w:val="003F7157"/>
    <w:rsid w:val="0041441B"/>
    <w:rsid w:val="004222B2"/>
    <w:rsid w:val="00423E98"/>
    <w:rsid w:val="00424DB1"/>
    <w:rsid w:val="004333FA"/>
    <w:rsid w:val="00436072"/>
    <w:rsid w:val="00440F4E"/>
    <w:rsid w:val="004516A4"/>
    <w:rsid w:val="0045470C"/>
    <w:rsid w:val="004609F9"/>
    <w:rsid w:val="00463D8D"/>
    <w:rsid w:val="00470226"/>
    <w:rsid w:val="004904A4"/>
    <w:rsid w:val="00497D6D"/>
    <w:rsid w:val="004A1D2D"/>
    <w:rsid w:val="004A4D12"/>
    <w:rsid w:val="004A4EEC"/>
    <w:rsid w:val="004A5845"/>
    <w:rsid w:val="004A62BF"/>
    <w:rsid w:val="004B49F7"/>
    <w:rsid w:val="004D0A8A"/>
    <w:rsid w:val="004D7A93"/>
    <w:rsid w:val="004E21B4"/>
    <w:rsid w:val="004E277C"/>
    <w:rsid w:val="004F3140"/>
    <w:rsid w:val="00505EBE"/>
    <w:rsid w:val="00506475"/>
    <w:rsid w:val="00506803"/>
    <w:rsid w:val="005074D6"/>
    <w:rsid w:val="00512FD3"/>
    <w:rsid w:val="00513F78"/>
    <w:rsid w:val="00515DD7"/>
    <w:rsid w:val="00546E08"/>
    <w:rsid w:val="005523C9"/>
    <w:rsid w:val="005527D1"/>
    <w:rsid w:val="00554C34"/>
    <w:rsid w:val="00557AF2"/>
    <w:rsid w:val="00562420"/>
    <w:rsid w:val="00570DCE"/>
    <w:rsid w:val="00574658"/>
    <w:rsid w:val="00580965"/>
    <w:rsid w:val="005918AA"/>
    <w:rsid w:val="005927F7"/>
    <w:rsid w:val="005D151E"/>
    <w:rsid w:val="005D19AC"/>
    <w:rsid w:val="005D328C"/>
    <w:rsid w:val="005D615B"/>
    <w:rsid w:val="005E6632"/>
    <w:rsid w:val="005F2004"/>
    <w:rsid w:val="005F2D76"/>
    <w:rsid w:val="005F7ED6"/>
    <w:rsid w:val="00604354"/>
    <w:rsid w:val="00604894"/>
    <w:rsid w:val="00617A81"/>
    <w:rsid w:val="00627204"/>
    <w:rsid w:val="00635737"/>
    <w:rsid w:val="00637F9C"/>
    <w:rsid w:val="0064014F"/>
    <w:rsid w:val="00657491"/>
    <w:rsid w:val="00674D0D"/>
    <w:rsid w:val="00675F99"/>
    <w:rsid w:val="00686300"/>
    <w:rsid w:val="006969B6"/>
    <w:rsid w:val="006A5783"/>
    <w:rsid w:val="006B42E9"/>
    <w:rsid w:val="006B7493"/>
    <w:rsid w:val="006C6800"/>
    <w:rsid w:val="006D037E"/>
    <w:rsid w:val="006D72CB"/>
    <w:rsid w:val="006D7F3D"/>
    <w:rsid w:val="006E4309"/>
    <w:rsid w:val="006E4B70"/>
    <w:rsid w:val="006F0467"/>
    <w:rsid w:val="006F0B36"/>
    <w:rsid w:val="006F4586"/>
    <w:rsid w:val="006F788B"/>
    <w:rsid w:val="0071083F"/>
    <w:rsid w:val="007115FE"/>
    <w:rsid w:val="00716353"/>
    <w:rsid w:val="0071690E"/>
    <w:rsid w:val="00722390"/>
    <w:rsid w:val="00737092"/>
    <w:rsid w:val="0074114E"/>
    <w:rsid w:val="00743CBF"/>
    <w:rsid w:val="00752217"/>
    <w:rsid w:val="00764A05"/>
    <w:rsid w:val="007678C2"/>
    <w:rsid w:val="00773780"/>
    <w:rsid w:val="007806DB"/>
    <w:rsid w:val="00780B51"/>
    <w:rsid w:val="007911C7"/>
    <w:rsid w:val="007963F9"/>
    <w:rsid w:val="007A411D"/>
    <w:rsid w:val="007B6AC3"/>
    <w:rsid w:val="007C1CA5"/>
    <w:rsid w:val="007C5DED"/>
    <w:rsid w:val="007D0343"/>
    <w:rsid w:val="007E30DA"/>
    <w:rsid w:val="007F26D8"/>
    <w:rsid w:val="00801CB7"/>
    <w:rsid w:val="00826F9D"/>
    <w:rsid w:val="00841A0F"/>
    <w:rsid w:val="00845913"/>
    <w:rsid w:val="008545C3"/>
    <w:rsid w:val="008636DF"/>
    <w:rsid w:val="00876809"/>
    <w:rsid w:val="00877DAD"/>
    <w:rsid w:val="00891F4A"/>
    <w:rsid w:val="00893753"/>
    <w:rsid w:val="0089672C"/>
    <w:rsid w:val="00896811"/>
    <w:rsid w:val="008A0CDB"/>
    <w:rsid w:val="008B61CF"/>
    <w:rsid w:val="008B636F"/>
    <w:rsid w:val="008C5F58"/>
    <w:rsid w:val="008C6994"/>
    <w:rsid w:val="008C7D7B"/>
    <w:rsid w:val="008D0468"/>
    <w:rsid w:val="008D219D"/>
    <w:rsid w:val="008D2949"/>
    <w:rsid w:val="008D6BDC"/>
    <w:rsid w:val="008D7917"/>
    <w:rsid w:val="008E7B65"/>
    <w:rsid w:val="008F2F63"/>
    <w:rsid w:val="0090278C"/>
    <w:rsid w:val="00905636"/>
    <w:rsid w:val="0091425F"/>
    <w:rsid w:val="00922190"/>
    <w:rsid w:val="00924109"/>
    <w:rsid w:val="00945D5E"/>
    <w:rsid w:val="0095167C"/>
    <w:rsid w:val="0095439C"/>
    <w:rsid w:val="00954C88"/>
    <w:rsid w:val="009562A4"/>
    <w:rsid w:val="00956F16"/>
    <w:rsid w:val="00960404"/>
    <w:rsid w:val="009766B7"/>
    <w:rsid w:val="0098657A"/>
    <w:rsid w:val="009A021C"/>
    <w:rsid w:val="009A08C8"/>
    <w:rsid w:val="009A4D0C"/>
    <w:rsid w:val="009B32A2"/>
    <w:rsid w:val="009C1C00"/>
    <w:rsid w:val="009C6A5B"/>
    <w:rsid w:val="009C7834"/>
    <w:rsid w:val="009D4028"/>
    <w:rsid w:val="009E03BE"/>
    <w:rsid w:val="009E1738"/>
    <w:rsid w:val="009E42EE"/>
    <w:rsid w:val="009E5CCD"/>
    <w:rsid w:val="009F25D5"/>
    <w:rsid w:val="00A021A3"/>
    <w:rsid w:val="00A03EE4"/>
    <w:rsid w:val="00A2078B"/>
    <w:rsid w:val="00A25BC8"/>
    <w:rsid w:val="00A277BE"/>
    <w:rsid w:val="00A32E05"/>
    <w:rsid w:val="00A3399C"/>
    <w:rsid w:val="00A3486F"/>
    <w:rsid w:val="00A37033"/>
    <w:rsid w:val="00A44822"/>
    <w:rsid w:val="00A47DF1"/>
    <w:rsid w:val="00A54E93"/>
    <w:rsid w:val="00A55053"/>
    <w:rsid w:val="00A6220A"/>
    <w:rsid w:val="00A63175"/>
    <w:rsid w:val="00A64FC4"/>
    <w:rsid w:val="00A704E2"/>
    <w:rsid w:val="00A73979"/>
    <w:rsid w:val="00A8651C"/>
    <w:rsid w:val="00A86C10"/>
    <w:rsid w:val="00AA2BDA"/>
    <w:rsid w:val="00AA76A8"/>
    <w:rsid w:val="00AC6C34"/>
    <w:rsid w:val="00AD048B"/>
    <w:rsid w:val="00AD1B57"/>
    <w:rsid w:val="00AD7A51"/>
    <w:rsid w:val="00AD7FF8"/>
    <w:rsid w:val="00AF2B6E"/>
    <w:rsid w:val="00B06904"/>
    <w:rsid w:val="00B20F7A"/>
    <w:rsid w:val="00B2494C"/>
    <w:rsid w:val="00B24DF5"/>
    <w:rsid w:val="00B276DE"/>
    <w:rsid w:val="00B27934"/>
    <w:rsid w:val="00B30EB2"/>
    <w:rsid w:val="00B36024"/>
    <w:rsid w:val="00B37D86"/>
    <w:rsid w:val="00B37FBC"/>
    <w:rsid w:val="00B566C4"/>
    <w:rsid w:val="00B61DB0"/>
    <w:rsid w:val="00B66DA1"/>
    <w:rsid w:val="00B759F4"/>
    <w:rsid w:val="00B83326"/>
    <w:rsid w:val="00B903FF"/>
    <w:rsid w:val="00B93128"/>
    <w:rsid w:val="00BA2D50"/>
    <w:rsid w:val="00BB02D6"/>
    <w:rsid w:val="00BB6355"/>
    <w:rsid w:val="00BC2C13"/>
    <w:rsid w:val="00BC608D"/>
    <w:rsid w:val="00BC631D"/>
    <w:rsid w:val="00BC7754"/>
    <w:rsid w:val="00BD41D7"/>
    <w:rsid w:val="00BD481A"/>
    <w:rsid w:val="00BE5B1F"/>
    <w:rsid w:val="00C01A39"/>
    <w:rsid w:val="00C01A8D"/>
    <w:rsid w:val="00C22F48"/>
    <w:rsid w:val="00C4090E"/>
    <w:rsid w:val="00C40B6B"/>
    <w:rsid w:val="00C42102"/>
    <w:rsid w:val="00C457F7"/>
    <w:rsid w:val="00C52F52"/>
    <w:rsid w:val="00C56724"/>
    <w:rsid w:val="00C673A4"/>
    <w:rsid w:val="00C76F13"/>
    <w:rsid w:val="00C77DDF"/>
    <w:rsid w:val="00C84AB5"/>
    <w:rsid w:val="00CA56AD"/>
    <w:rsid w:val="00CB559A"/>
    <w:rsid w:val="00CC0B3B"/>
    <w:rsid w:val="00CC67A3"/>
    <w:rsid w:val="00CD31B4"/>
    <w:rsid w:val="00CD70FD"/>
    <w:rsid w:val="00CE1A81"/>
    <w:rsid w:val="00CE6FDB"/>
    <w:rsid w:val="00CF00CF"/>
    <w:rsid w:val="00CF0A70"/>
    <w:rsid w:val="00CF530B"/>
    <w:rsid w:val="00CF66B4"/>
    <w:rsid w:val="00D00453"/>
    <w:rsid w:val="00D07BA2"/>
    <w:rsid w:val="00D1190C"/>
    <w:rsid w:val="00D15558"/>
    <w:rsid w:val="00D21029"/>
    <w:rsid w:val="00D226EB"/>
    <w:rsid w:val="00D245EC"/>
    <w:rsid w:val="00D258B3"/>
    <w:rsid w:val="00D31F82"/>
    <w:rsid w:val="00D33F8C"/>
    <w:rsid w:val="00D5031B"/>
    <w:rsid w:val="00D702B1"/>
    <w:rsid w:val="00D85E49"/>
    <w:rsid w:val="00D97929"/>
    <w:rsid w:val="00DA4E2D"/>
    <w:rsid w:val="00DA628B"/>
    <w:rsid w:val="00DB16C0"/>
    <w:rsid w:val="00DB48B0"/>
    <w:rsid w:val="00DF221A"/>
    <w:rsid w:val="00E02759"/>
    <w:rsid w:val="00E02AD8"/>
    <w:rsid w:val="00E07E5D"/>
    <w:rsid w:val="00E173E3"/>
    <w:rsid w:val="00E31B6A"/>
    <w:rsid w:val="00E34330"/>
    <w:rsid w:val="00E3585B"/>
    <w:rsid w:val="00E5296A"/>
    <w:rsid w:val="00E559CD"/>
    <w:rsid w:val="00E6375F"/>
    <w:rsid w:val="00E66E16"/>
    <w:rsid w:val="00E7111C"/>
    <w:rsid w:val="00E80F64"/>
    <w:rsid w:val="00E84498"/>
    <w:rsid w:val="00EA065F"/>
    <w:rsid w:val="00EA0F40"/>
    <w:rsid w:val="00EB5EE2"/>
    <w:rsid w:val="00EE33B0"/>
    <w:rsid w:val="00EE476D"/>
    <w:rsid w:val="00EF1EFC"/>
    <w:rsid w:val="00F024E6"/>
    <w:rsid w:val="00F06EA2"/>
    <w:rsid w:val="00F12D32"/>
    <w:rsid w:val="00F149C5"/>
    <w:rsid w:val="00F153EB"/>
    <w:rsid w:val="00F30A78"/>
    <w:rsid w:val="00F3129B"/>
    <w:rsid w:val="00F33D73"/>
    <w:rsid w:val="00F41989"/>
    <w:rsid w:val="00F4264B"/>
    <w:rsid w:val="00F46704"/>
    <w:rsid w:val="00F51C97"/>
    <w:rsid w:val="00F62FAA"/>
    <w:rsid w:val="00F66936"/>
    <w:rsid w:val="00F7027A"/>
    <w:rsid w:val="00F76BA9"/>
    <w:rsid w:val="00F774A8"/>
    <w:rsid w:val="00F84C34"/>
    <w:rsid w:val="00F84E9C"/>
    <w:rsid w:val="00F865C2"/>
    <w:rsid w:val="00F86EF6"/>
    <w:rsid w:val="00F956EA"/>
    <w:rsid w:val="00FA0C70"/>
    <w:rsid w:val="00FC3DF4"/>
    <w:rsid w:val="00FD0A5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CD43-87CE-4E61-82EE-BE86E404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character" w:customStyle="1" w:styleId="SinespaciadoCar">
    <w:name w:val="Sin espaciado Car"/>
    <w:link w:val="Sinespaciado"/>
    <w:uiPriority w:val="1"/>
    <w:locked/>
    <w:rsid w:val="000B0D97"/>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253319882">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356343250">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32017342">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6737016">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52D72-3A02-4956-BECB-BF6AC52D4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1573</Words>
  <Characters>8653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Jesús Campos Quesada</dc:creator>
  <cp:lastModifiedBy>Fabricio Diaz Porras</cp:lastModifiedBy>
  <cp:revision>21</cp:revision>
  <dcterms:created xsi:type="dcterms:W3CDTF">2019-07-22T13:25:00Z</dcterms:created>
  <dcterms:modified xsi:type="dcterms:W3CDTF">2021-01-07T14:16:00Z</dcterms:modified>
</cp:coreProperties>
</file>